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6wroghloubafsxrmwbd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июня 2019 года № 292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взаимодействии по профилактике и ликвидации очагов болезней и вредителей леса на приграничных территориях государств-участников СНГ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г.Астана, от 2 ноября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</w:t>
      </w:r>
      <w:hyperlink w:history="1" r:id="rIdhb2nd2zqnzdi4ouc9yj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лесопромышленного комплекса и лесного хозяйства от 11 сентября 1998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приграничном сотрудничестве государств-участников Содружества Независимых Государств от 10 октября 2008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развивая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 профилактике и тушению природных пожаров на приграничных территориях государств-участников Содружества Независимых Государств от 31 мая 2013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целях предотвращения болезней и распространения вредителей леса на сопредельные территории государств-участников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основные термины, имеющие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виды вредных организмов</w:t>
      </w:r>
      <w:r>
        <w:rPr>
          <w:rFonts w:ascii="Arial" w:cs="Arial" w:eastAsia="Arial" w:hAnsi="Arial"/>
          <w:sz w:val="24"/>
          <w:szCs w:val="24"/>
        </w:rPr>
        <w:t xml:space="preserve"> - живые виды организмов (вредители и возбудители инфекционных болезней растений), способные при определенном повышении численности или уровне развития и распространения наносить экологический и экономический ущерб лесу и лесной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лесопатологический мониторинг</w:t>
      </w:r>
      <w:r>
        <w:rPr>
          <w:rFonts w:ascii="Arial" w:cs="Arial" w:eastAsia="Arial" w:hAnsi="Arial"/>
          <w:sz w:val="24"/>
          <w:szCs w:val="24"/>
        </w:rPr>
        <w:t xml:space="preserve"> - подсистема экологического мониторинга, система сбора, анализа и использования информации о лесопатологическом и санитарном состоянии лесов, развитии и распространении очагов вредителей и болезней леса, и повреждении (поражении) лесов другими неблагоприятными природными и антропогенными факторами. Проводится в целях прогноза лесопатологической ситуации и принятия решений по планированию и осуществлению мероприятий по защите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и/или организации государств-участников настоящего Соглашения, наделенные Сторонами полномочиями по принятию решений и осуществлению мероприятий для реализации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сотрудничество государств-участников настоящего Соглашения по профилактике и ликвидации очагов болезней и вредителей леса на приграничных территориях государств-участников СНГ, разработке совместных мер по развитию лесопатологического мониторинга и уровня защищенности приграничных территорий государств-участников настоящего Соглашения от воздействия болезней и вредителей леса для минимизации причиняемых ими потерь лесов и экономического ущерба.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органов, который передается депозитарию при сдаче уведомления о выполнении внутригосударственных процедур, необходимых для вступления в силу настоящего Соглашения. Об изменении перечня уполномоченных органов каждая из Сторон в течение 30 дней с даты принятия такого решения информирует депозитарий, который уведомляет об этом остальные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через свои уполномоченные органы в соответствии с настоящим Соглашением при соблюдении международных договоров и законодательства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осуществляют сотрудничество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и проведения консультаций о результатах лесопатологического мониторинга лесов приграничных территорий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о принимаемых мерах борьбы с лесными видами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совместных научно-исследовательских работ в области лесопатологического мониторинга лесов приграничных территорий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оказания взаимной научной и технической помощи в области проведения мероприятий по защите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учебных курсов и семинаров по борьбе с болезнями и вредителями леса.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по вопросам сотрудничества государств-участников настоящего Соглашения в области профилактики и ликвидации очагов болезней и вредителей леса на приграничных территориях государств-участников настоящего Соглашения является Межправительственный совет по лесопромышленному комплексу и лесному хозяйству.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Стороны формируют общий перечень (перечни) лесных видов вредных организмов (инвазивных и карантинных), распространенных на приграничных территориях государств-участников настоящего Соглашения, утверждаемый Межправительственным советом по лесопромышленному комплексу и лесному хозяйству.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сотрудничества по реализации настоящего Соглашения осуществляется в пределах средств, предусмотренных в бюджетах государств-участников СНГ заинтересованным министерствам и ведомствам на обеспечение их функций.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Астане 2 ноября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wroghloubafsxrmwbdh0" Type="http://schemas.openxmlformats.org/officeDocument/2006/relationships/hyperlink" Target="http://kodeks.duckdns.org/document/14249" TargetMode="External"/><Relationship Id="rIdhb2nd2zqnzdi4ouc9yjj1" Type="http://schemas.openxmlformats.org/officeDocument/2006/relationships/hyperlink" Target="http://kodeks.duckdns.org/document/170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2026-09-23T13:48:39.077Z</dcterms:created>
  <dcterms:modified xsi:type="dcterms:W3CDTF">2026-09-23T13:48:39.077Z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