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июля 2019 года № 341</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профессиональных союзах"</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gmuifjxocot4x93elkbg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ga9blh7jcsz-hmht9zgeg">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профессиональных союзах", инициированный депутатами Жогорку Кенеша Кыргызской Республики Толоновым Д.Э., Масабировым Т.А., Асылбаевой Г.К., Примовым У.Б., Тиллаевым Т.Г., Турусбековым Б.С., Гаипкуловым И.Т., Рыспаевым К.Дж., Бакировым М.И.</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4 июля 2019 года № 341</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профессиональных союзах"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vjkp6_5ar8eq4exbqvwn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профессиональных союзах" (далее - проект Закона), инициированный депутатами Жогорку Кенеша Кыргызской Республики Толоновым Д.Э., Масабировым Т.А., Асылбаевой Г.К., Примовым У.Б., Тиллаевым Т.Г., Турусбековым Б.С., Гаипкуловым И.Т., Рыспаевым К.Дж., Бакировым М.И., приходит к следующему заключению.</w:t>
      </w:r>
    </w:p>
    <w:p>
      <w:pPr>
        <w:spacing w:after="60"/>
        <w:ind w:firstLine="567"/>
        <w:jc w:val="both"/>
      </w:pPr>
      <w:r>
        <w:rPr>
          <w:rFonts w:ascii="Arial" w:cs="Arial" w:eastAsia="Arial" w:hAnsi="Arial"/>
          <w:sz w:val="24"/>
          <w:szCs w:val="24"/>
        </w:rPr>
        <w:t xml:space="preserve">1. В целях определения круга вопросов, подлежащих правовой регламентации, предлагаем проектом Закона установить предмет правового регулирования.</w:t>
      </w:r>
    </w:p>
    <w:p>
      <w:pPr>
        <w:spacing w:after="60"/>
        <w:ind w:firstLine="567"/>
        <w:jc w:val="both"/>
      </w:pPr>
      <w:r>
        <w:rPr>
          <w:rFonts w:ascii="Arial" w:cs="Arial" w:eastAsia="Arial" w:hAnsi="Arial"/>
          <w:sz w:val="24"/>
          <w:szCs w:val="24"/>
        </w:rPr>
        <w:t xml:space="preserve">2. Статьей 4 проекта Закона предлагается установить, что "профсоюзы в своей деятельности подчиняются только законодательству Кыргызской Республики. Они не подотчетны и не подконтрольны органам государственной власти, работодателям, политическим партиям и другим общественным объединениям. Запрещается всякое вмешательство, способное ограничить права профсоюзов или воспрепятствовать осуществлению их уставной деятельности, если иное не предусмотрено законом".</w:t>
      </w:r>
    </w:p>
    <w:p>
      <w:pPr>
        <w:spacing w:after="60"/>
        <w:ind w:firstLine="567"/>
        <w:jc w:val="both"/>
      </w:pPr>
      <w:r>
        <w:rPr>
          <w:rFonts w:ascii="Arial" w:cs="Arial" w:eastAsia="Arial" w:hAnsi="Arial"/>
          <w:sz w:val="24"/>
          <w:szCs w:val="24"/>
        </w:rPr>
        <w:t xml:space="preserve">Также частью 3 статьи 6 проекта Закона предлагается предусмотреть, что, профсоюзы независимы в своей деятельности от государственных органов всех уровней, политических партий, работодателей и их объединений, не подконтрольны и не подотчетны им.</w:t>
      </w:r>
    </w:p>
    <w:p>
      <w:pPr>
        <w:spacing w:after="60"/>
        <w:ind w:firstLine="567"/>
        <w:jc w:val="both"/>
      </w:pPr>
      <w:r>
        <w:rPr>
          <w:rFonts w:ascii="Arial" w:cs="Arial" w:eastAsia="Arial" w:hAnsi="Arial"/>
          <w:sz w:val="24"/>
          <w:szCs w:val="24"/>
        </w:rPr>
        <w:t xml:space="preserve">Поскольку вышеуказанные нормы проекта Закона по смыслу дублируют друг друга, предлагаем их пересмотреть.</w:t>
      </w:r>
    </w:p>
    <w:p>
      <w:pPr>
        <w:spacing w:after="60"/>
        <w:ind w:firstLine="567"/>
        <w:jc w:val="both"/>
      </w:pPr>
      <w:r>
        <w:rPr>
          <w:rFonts w:ascii="Arial" w:cs="Arial" w:eastAsia="Arial" w:hAnsi="Arial"/>
          <w:sz w:val="24"/>
          <w:szCs w:val="24"/>
        </w:rPr>
        <w:t xml:space="preserve">3. Согласно части 1 статьи 7 проекта Закона предлагается предусмотреть, что Федерация профсоюзов Кыргызской Республики - это республиканское объединение профсоюзных организаций, являющееся единственным полномочным представителем работников, членских организаций в социальном партнерстве с Правительством Кыргызской Республики на республиканском уровне.</w:t>
      </w:r>
    </w:p>
    <w:p>
      <w:pPr>
        <w:spacing w:after="60"/>
        <w:ind w:firstLine="567"/>
        <w:jc w:val="both"/>
      </w:pPr>
      <w:r>
        <w:rPr>
          <w:rFonts w:ascii="Arial" w:cs="Arial" w:eastAsia="Arial" w:hAnsi="Arial"/>
          <w:sz w:val="24"/>
          <w:szCs w:val="24"/>
        </w:rPr>
        <w:t xml:space="preserve">При этом, согласно части 1 статьи 1 проекта Закона профессиональный союз - общественное объединение с фиксированным членством, добровольно создаваемое на основе общности трудовых, производственно-профессиональных интересов граждан Кыргызской Республики для представительства и защиты трудовых и социально-экономических прав и интересов своих членов.</w:t>
      </w:r>
    </w:p>
    <w:p>
      <w:pPr>
        <w:spacing w:after="60"/>
        <w:ind w:firstLine="567"/>
        <w:jc w:val="both"/>
      </w:pPr>
      <w:r>
        <w:rPr>
          <w:rFonts w:ascii="Arial" w:cs="Arial" w:eastAsia="Arial" w:hAnsi="Arial"/>
          <w:sz w:val="24"/>
          <w:szCs w:val="24"/>
        </w:rPr>
        <w:t xml:space="preserve">Из контекста части 1 статьи 7 проекта Закона следует полагать, что Федерация профсоюзов Кыргызской Республики будет единственным полномочным представителем работников членских организаций.</w:t>
      </w:r>
    </w:p>
    <w:p>
      <w:pPr>
        <w:spacing w:after="60"/>
        <w:ind w:firstLine="567"/>
        <w:jc w:val="both"/>
      </w:pPr>
      <w:r>
        <w:rPr>
          <w:rFonts w:ascii="Arial" w:cs="Arial" w:eastAsia="Arial" w:hAnsi="Arial"/>
          <w:sz w:val="24"/>
          <w:szCs w:val="24"/>
        </w:rPr>
        <w:t xml:space="preserve">Следует отметить, что в соответствии с частью 2 </w:t>
      </w:r>
      <w:r>
        <w:rPr>
          <w:rFonts w:ascii="Arial" w:cs="Arial" w:eastAsia="Arial" w:hAnsi="Arial"/>
          <w:sz w:val="24"/>
          <w:szCs w:val="24"/>
        </w:rPr>
        <w:t xml:space="preserve">статьи 4</w:t>
      </w:r>
      <w:r>
        <w:rPr>
          <w:rFonts w:ascii="Arial" w:cs="Arial" w:eastAsia="Arial" w:hAnsi="Arial"/>
          <w:sz w:val="24"/>
          <w:szCs w:val="24"/>
        </w:rPr>
        <w:t xml:space="preserve"> </w:t>
      </w:r>
      <w:hyperlink w:history="1" r:id="rId4s_jfm_j1cy7ff348w2w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политические партии,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 удовлетворения политических, экономических, социальных, трудовых, культурных и иных интересов.</w:t>
      </w:r>
    </w:p>
    <w:p>
      <w:pPr>
        <w:spacing w:after="60"/>
        <w:ind w:firstLine="567"/>
        <w:jc w:val="both"/>
      </w:pPr>
      <w:r>
        <w:rPr>
          <w:rFonts w:ascii="Arial" w:cs="Arial" w:eastAsia="Arial" w:hAnsi="Arial"/>
          <w:sz w:val="24"/>
          <w:szCs w:val="24"/>
        </w:rPr>
        <w:t xml:space="preserve">Одновременно обращаем внимание на то, что в соответствии со статьей 2 Конвенции о свободе объединений и защите права объединяться в профсоюзы № 87 установлено, что работники и работодатели без какого бы то ни было различия имеют право создавать по своему выбору организации без предварительного на то разрешения, а также право вступать в такие организации на единственном условии подчинения уставам этих последних.</w:t>
      </w:r>
    </w:p>
    <w:p>
      <w:pPr>
        <w:spacing w:after="60"/>
        <w:ind w:firstLine="567"/>
        <w:jc w:val="both"/>
      </w:pPr>
      <w:r>
        <w:rPr>
          <w:rFonts w:ascii="Arial" w:cs="Arial" w:eastAsia="Arial" w:hAnsi="Arial"/>
          <w:sz w:val="24"/>
          <w:szCs w:val="24"/>
        </w:rPr>
        <w:t xml:space="preserve">В связи с этим, учитывая положения </w:t>
      </w:r>
      <w:hyperlink w:history="1" r:id="rIdqemftiqfzsl7irha4xc6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вышеуказанной Конвенции, часть 1 статьи 7 проекта Закона предлагаем дополнительно проанализировать и пересмотреть.</w:t>
      </w:r>
    </w:p>
    <w:p>
      <w:pPr>
        <w:spacing w:after="60"/>
        <w:ind w:firstLine="567"/>
        <w:jc w:val="both"/>
      </w:pPr>
      <w:r>
        <w:rPr>
          <w:rFonts w:ascii="Arial" w:cs="Arial" w:eastAsia="Arial" w:hAnsi="Arial"/>
          <w:sz w:val="24"/>
          <w:szCs w:val="24"/>
        </w:rPr>
        <w:t xml:space="preserve">4. Частью 2 статьи 7 проекта Закона устанавливается, что Федерация профсоюзов Кыргызской Республики должна иметь в составе более половины зарегистрированных отраслевых (межотраслевых) профсоюзных объединений.</w:t>
      </w:r>
    </w:p>
    <w:p>
      <w:pPr>
        <w:spacing w:after="60"/>
        <w:ind w:firstLine="567"/>
        <w:jc w:val="both"/>
      </w:pPr>
      <w:r>
        <w:rPr>
          <w:rFonts w:ascii="Arial" w:cs="Arial" w:eastAsia="Arial" w:hAnsi="Arial"/>
          <w:sz w:val="24"/>
          <w:szCs w:val="24"/>
        </w:rPr>
        <w:t xml:space="preserve">Также частью 6 указанной статьи проекта Закона устанавливается, что членом Федерации профсоюзов может быть республиканское отраслевое объединение, объединяющее не менее 10 тысяч членов и имеющее структурные подразделения, членские организации не менее чем в четырех областях.</w:t>
      </w:r>
    </w:p>
    <w:p>
      <w:pPr>
        <w:spacing w:after="60"/>
        <w:ind w:firstLine="567"/>
        <w:jc w:val="both"/>
      </w:pPr>
      <w:r>
        <w:rPr>
          <w:rFonts w:ascii="Arial" w:cs="Arial" w:eastAsia="Arial" w:hAnsi="Arial"/>
          <w:sz w:val="24"/>
          <w:szCs w:val="24"/>
        </w:rPr>
        <w:t xml:space="preserve">При этом обращаем внимание на то, что установление требований к составу членов Федерации профсоюзов Кыргызской Республики нарушает принцип независимости деятельности профсоюзных организаций, поскольку данные вопросы должны относиться к внутренней компетенции профсоюзных организаций.</w:t>
      </w:r>
    </w:p>
    <w:p>
      <w:pPr>
        <w:spacing w:after="60"/>
        <w:ind w:firstLine="567"/>
        <w:jc w:val="both"/>
      </w:pPr>
      <w:r>
        <w:rPr>
          <w:rFonts w:ascii="Arial" w:cs="Arial" w:eastAsia="Arial" w:hAnsi="Arial"/>
          <w:sz w:val="24"/>
          <w:szCs w:val="24"/>
        </w:rPr>
        <w:t xml:space="preserve">Учитывая, что согласно части 2 статьи 6 проекта Закона профсоюзы самостоятельно разрабатывают и утверждают уставы, структуру, определяют приоритетные направления деятельности, образуют профсоюзные органы, организуют деятельность, проводят собрания, конференции, съезды и другие мероприятия, не запрещенные законодательными актами Кыргызской Республики, представляется целесообразным предоставить право профсоюзам самостоятельно определять организационные вопросы, связанные с функционированием профсоюзов (определение структуры, членство в профсоюзах, создание руководящих органов и т.д.), и регламентировать в уставах профсоюзов.</w:t>
      </w:r>
    </w:p>
    <w:p>
      <w:pPr>
        <w:spacing w:after="60"/>
        <w:ind w:firstLine="567"/>
        <w:jc w:val="both"/>
      </w:pPr>
      <w:r>
        <w:rPr>
          <w:rFonts w:ascii="Arial" w:cs="Arial" w:eastAsia="Arial" w:hAnsi="Arial"/>
          <w:sz w:val="24"/>
          <w:szCs w:val="24"/>
        </w:rPr>
        <w:t xml:space="preserve">5. Статьей 8 проекта Закона регламентированы задачи и функции областного представительства Федерации профсоюзов Кыргызской Республики.</w:t>
      </w:r>
    </w:p>
    <w:p>
      <w:pPr>
        <w:spacing w:after="60"/>
        <w:ind w:firstLine="567"/>
        <w:jc w:val="both"/>
      </w:pPr>
      <w:r>
        <w:rPr>
          <w:rFonts w:ascii="Arial" w:cs="Arial" w:eastAsia="Arial" w:hAnsi="Arial"/>
          <w:sz w:val="24"/>
          <w:szCs w:val="24"/>
        </w:rPr>
        <w:t xml:space="preserve">При этом предлагаем уточнить, будут ли созданы представительства Федерации профсоюзов Кыргызской Республики в городах Бишкек и Ош, имеющие статус республиканского значения, поскольку они не являются областями.</w:t>
      </w:r>
    </w:p>
    <w:p>
      <w:pPr>
        <w:spacing w:after="60"/>
        <w:ind w:firstLine="567"/>
        <w:jc w:val="both"/>
      </w:pPr>
      <w:r>
        <w:rPr>
          <w:rFonts w:ascii="Arial" w:cs="Arial" w:eastAsia="Arial" w:hAnsi="Arial"/>
          <w:sz w:val="24"/>
          <w:szCs w:val="24"/>
        </w:rPr>
        <w:t xml:space="preserve">6. Статьей 14 проекта Закона предлагается установить, что в случае, если деятельность Федерации профсоюзов Кыргызской Республики противоречит </w:t>
      </w:r>
      <w:hyperlink w:history="1" r:id="rIdukpbmlehlgmk-uggbvpj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она может быть приостановлена на срок до шести месяцев или запрещена решением Верховного Суда Кыргызской Республики по представлению Генерального прокурора Кыргызской Республики.</w:t>
      </w:r>
    </w:p>
    <w:p>
      <w:pPr>
        <w:spacing w:after="60"/>
        <w:ind w:firstLine="567"/>
        <w:jc w:val="both"/>
      </w:pPr>
      <w:r>
        <w:rPr>
          <w:rFonts w:ascii="Arial" w:cs="Arial" w:eastAsia="Arial" w:hAnsi="Arial"/>
          <w:sz w:val="24"/>
          <w:szCs w:val="24"/>
        </w:rPr>
        <w:t xml:space="preserve">Вместе с тем следует отметить, что согласно </w:t>
      </w:r>
      <w:r>
        <w:rPr>
          <w:rFonts w:ascii="Arial" w:cs="Arial" w:eastAsia="Arial" w:hAnsi="Arial"/>
          <w:sz w:val="24"/>
          <w:szCs w:val="24"/>
        </w:rPr>
        <w:t xml:space="preserve">статье 96</w:t>
      </w:r>
      <w:r>
        <w:rPr>
          <w:rFonts w:ascii="Arial" w:cs="Arial" w:eastAsia="Arial" w:hAnsi="Arial"/>
          <w:sz w:val="24"/>
          <w:szCs w:val="24"/>
        </w:rPr>
        <w:t xml:space="preserve"> </w:t>
      </w:r>
      <w:hyperlink w:history="1" r:id="rId4yvqlpiokyor-q-1dscf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Верховный суд является высшим судебным органом по гражданским, уголовным, экономическим, административным и иным делам и осуществляет пересмотр судебных актов местных судов по обращениям участников судебного процесса в порядке, определяемом законом.</w:t>
      </w:r>
    </w:p>
    <w:p>
      <w:pPr>
        <w:spacing w:after="60"/>
        <w:ind w:firstLine="567"/>
        <w:jc w:val="both"/>
      </w:pPr>
      <w:r>
        <w:rPr>
          <w:rFonts w:ascii="Arial" w:cs="Arial" w:eastAsia="Arial" w:hAnsi="Arial"/>
          <w:sz w:val="24"/>
          <w:szCs w:val="24"/>
        </w:rPr>
        <w:t xml:space="preserve">Таким образом, для рассмотрения Верховным судом Кыргызской Республики соответствующего дела по вопросу приостановления или запрещения деятельности профсоюзных организаций необходимо наличие решений местных судов по данному вопросу, а также решение процессуальных сторон о подаче апелляционных и надзорных жалоб, соответственно, в вышестоящие судебные инстанции.</w:t>
      </w:r>
    </w:p>
    <w:p>
      <w:pPr>
        <w:spacing w:after="60"/>
        <w:ind w:firstLine="567"/>
        <w:jc w:val="both"/>
      </w:pPr>
      <w:r>
        <w:rPr>
          <w:rFonts w:ascii="Arial" w:cs="Arial" w:eastAsia="Arial" w:hAnsi="Arial"/>
          <w:sz w:val="24"/>
          <w:szCs w:val="24"/>
        </w:rPr>
        <w:t xml:space="preserve">Ввиду чего отмечаем, что деятельность республиканских объединений профсоюзов может быть приостановлена или запрещена, в том числе и решением местного суда. Вместе с тем, в соответствии со </w:t>
      </w:r>
      <w:r>
        <w:rPr>
          <w:rFonts w:ascii="Arial" w:cs="Arial" w:eastAsia="Arial" w:hAnsi="Arial"/>
          <w:sz w:val="24"/>
          <w:szCs w:val="24"/>
        </w:rPr>
        <w:t xml:space="preserve">статьей 100</w:t>
      </w:r>
      <w:r>
        <w:rPr>
          <w:rFonts w:ascii="Arial" w:cs="Arial" w:eastAsia="Arial" w:hAnsi="Arial"/>
          <w:sz w:val="24"/>
          <w:szCs w:val="24"/>
        </w:rPr>
        <w:t xml:space="preserve"> </w:t>
      </w:r>
      <w:hyperlink w:history="1" r:id="rIdsyqvf3opkscwpnqr7m7q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вступившие в законную силу акты судов Кыргызской Республики обязательны для всех государственных органов, органов местного самоуправления, юридических лиц, общественных объединений, должностных и физических лиц и подлежат исполнению на всей территории республики.</w:t>
      </w:r>
    </w:p>
    <w:p>
      <w:pPr>
        <w:spacing w:after="60"/>
        <w:ind w:firstLine="567"/>
        <w:jc w:val="both"/>
      </w:pPr>
      <w:r>
        <w:rPr>
          <w:rFonts w:ascii="Arial" w:cs="Arial" w:eastAsia="Arial" w:hAnsi="Arial"/>
          <w:sz w:val="24"/>
          <w:szCs w:val="24"/>
        </w:rPr>
        <w:t xml:space="preserve">Кроме того, статья 14 проекта Закона также определяет, что "в случае, если деятельность территориальных профсоюзов, их объединений или первичных профсоюзных организаций противоречит </w:t>
      </w:r>
      <w:hyperlink w:history="1" r:id="rIdcit3rf033_ixtqwcxx8n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законам Кыргызской Республики, она может быть приостановлена на срок до шести месяцев или запрещена решением соответствующего местного суда по представлению прокурора соответствующих области, города, или района".</w:t>
      </w:r>
    </w:p>
    <w:p>
      <w:pPr>
        <w:spacing w:after="60"/>
        <w:ind w:firstLine="567"/>
        <w:jc w:val="both"/>
      </w:pPr>
      <w:r>
        <w:rPr>
          <w:rFonts w:ascii="Arial" w:cs="Arial" w:eastAsia="Arial" w:hAnsi="Arial"/>
          <w:sz w:val="24"/>
          <w:szCs w:val="24"/>
        </w:rPr>
        <w:t xml:space="preserve">В связи с этим отмечаем, что решения местных судов могут быть пересмотрены вышестоящими судами в порядке апелляционных и надзорных жалоб.</w:t>
      </w:r>
    </w:p>
    <w:p>
      <w:pPr>
        <w:spacing w:after="60"/>
        <w:ind w:firstLine="567"/>
        <w:jc w:val="both"/>
      </w:pPr>
      <w:r>
        <w:rPr>
          <w:rFonts w:ascii="Arial" w:cs="Arial" w:eastAsia="Arial" w:hAnsi="Arial"/>
          <w:sz w:val="24"/>
          <w:szCs w:val="24"/>
        </w:rPr>
        <w:t xml:space="preserve">Одновременно отмечаем, что в случае рассмотрения судом дела по вопросу противоречия деятельности указанных профсоюзных организаций законодательству Кыргызской Республики, наличие представления соответствующих должностных лиц органов прокуратуры не является обязательным условием.</w:t>
      </w:r>
    </w:p>
    <w:p>
      <w:pPr>
        <w:spacing w:after="60"/>
        <w:ind w:firstLine="567"/>
        <w:jc w:val="both"/>
      </w:pPr>
      <w:r>
        <w:rPr>
          <w:rFonts w:ascii="Arial" w:cs="Arial" w:eastAsia="Arial" w:hAnsi="Arial"/>
          <w:sz w:val="24"/>
          <w:szCs w:val="24"/>
        </w:rPr>
        <w:t xml:space="preserve">Так, в соответствии со </w:t>
      </w:r>
      <w:r>
        <w:rPr>
          <w:rFonts w:ascii="Arial" w:cs="Arial" w:eastAsia="Arial" w:hAnsi="Arial"/>
          <w:sz w:val="24"/>
          <w:szCs w:val="24"/>
        </w:rPr>
        <w:t xml:space="preserve">статьей 104</w:t>
      </w:r>
      <w:r>
        <w:rPr>
          <w:rFonts w:ascii="Arial" w:cs="Arial" w:eastAsia="Arial" w:hAnsi="Arial"/>
          <w:sz w:val="24"/>
          <w:szCs w:val="24"/>
        </w:rPr>
        <w:t xml:space="preserve"> </w:t>
      </w:r>
      <w:hyperlink w:history="1" r:id="rIdtkfy4njol3dtionztdqv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прокуратура осуществляет надзор за точным и единообразным исполнением законов органами исполнительной власти, органами местного самоуправления, их должностными лицами, надзор за соблюдением законов органами, осуществляющими оперативно-розыскную деятельность, следствие, надзор за соблюдением законов при исполнении судебных решений по уголовным делам, а также при применении мер принудительного характера, связанных с ограничением личной свободы граждан, представительство интересов гражданина или государства в суде в случаях, определенных законом, поддержание государственного обвинения в суде, возбуждение уголовных дел в отношении должностных лиц государственных органов, перечень которых определяется конституционным законом, с передачей дел на расследование в соответствующие органы, а также уголовное преследование лиц, имеющих статус военнослужащих.</w:t>
      </w:r>
    </w:p>
    <w:p>
      <w:pPr>
        <w:spacing w:after="60"/>
        <w:ind w:firstLine="567"/>
        <w:jc w:val="both"/>
      </w:pPr>
      <w:r>
        <w:rPr>
          <w:rFonts w:ascii="Arial" w:cs="Arial" w:eastAsia="Arial" w:hAnsi="Arial"/>
          <w:sz w:val="24"/>
          <w:szCs w:val="24"/>
        </w:rPr>
        <w:t xml:space="preserve">Так, в вышеуказанном перечне полномочий прокуратуры отсутствует норма относительно внесения представления в Верховный суд Кыргызской Республики о приостановлении деятельности Федерации профсоюзов Кыргызской Республики.</w:t>
      </w:r>
    </w:p>
    <w:p>
      <w:pPr>
        <w:spacing w:after="60"/>
        <w:ind w:firstLine="567"/>
        <w:jc w:val="both"/>
      </w:pPr>
      <w:r>
        <w:rPr>
          <w:rFonts w:ascii="Arial" w:cs="Arial" w:eastAsia="Arial" w:hAnsi="Arial"/>
          <w:sz w:val="24"/>
          <w:szCs w:val="24"/>
        </w:rPr>
        <w:t xml:space="preserve">С учетом изложенного предлагаем пересмотреть редакцию статьи 14 проекта Закона.</w:t>
      </w:r>
    </w:p>
    <w:p>
      <w:pPr>
        <w:spacing w:after="60"/>
        <w:ind w:firstLine="567"/>
        <w:jc w:val="both"/>
      </w:pPr>
      <w:r>
        <w:rPr>
          <w:rFonts w:ascii="Arial" w:cs="Arial" w:eastAsia="Arial" w:hAnsi="Arial"/>
          <w:sz w:val="24"/>
          <w:szCs w:val="24"/>
        </w:rPr>
        <w:t xml:space="preserve">7. Статьей 15 проекта Закона вводятся требования к уставам профессиональных союзов, где указывается перечень информации, которой должен содержать в себе устав профсоюзной организации. Уставы локальных и первичных профсоюзных организаций, входящих в состав отраслевых и территориальных объединений профсоюзов, не должны противоречить уставам соответствующих объединений. Уставы членских организаций Федерации профсоюзов Кыргызской Республики не должны противоречить уставу Федерации профсоюзов Кыргызской Республики.</w:t>
      </w:r>
    </w:p>
    <w:p>
      <w:pPr>
        <w:spacing w:after="60"/>
        <w:ind w:firstLine="567"/>
        <w:jc w:val="both"/>
      </w:pPr>
      <w:r>
        <w:rPr>
          <w:rFonts w:ascii="Arial" w:cs="Arial" w:eastAsia="Arial" w:hAnsi="Arial"/>
          <w:sz w:val="24"/>
          <w:szCs w:val="24"/>
        </w:rPr>
        <w:t xml:space="preserve">При этом следует отметить, что вопросы государственной регистрации и перерегистрации юридических лиц регулируются </w:t>
      </w:r>
      <w:hyperlink w:history="1" r:id="rIdars3h2eqdoxr61si5hmx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spacing w:after="60"/>
        <w:ind w:firstLine="567"/>
        <w:jc w:val="both"/>
      </w:pPr>
      <w:r>
        <w:rPr>
          <w:rFonts w:ascii="Arial" w:cs="Arial" w:eastAsia="Arial" w:hAnsi="Arial"/>
          <w:sz w:val="24"/>
          <w:szCs w:val="24"/>
        </w:rPr>
        <w:t xml:space="preserve">Следовательно, регистрирующему органу, помимо проверки устава на соблюдение общих требований первичной профсоюзной организации, придется проверять содержание их уставов на отсутствие противоречий с отраслевыми и территориальными объединениями, а их уставы - на соответствие Уставу Федерации профсоюзов Кыргызской Республики. Указанные обстоятельства в правоприменительной практике в значительной степени затруднят процедуру регистрации, как для профсоюзных организаций, так и для регистрирующего органа.</w:t>
      </w:r>
    </w:p>
    <w:p>
      <w:pPr>
        <w:spacing w:after="60"/>
        <w:ind w:firstLine="567"/>
        <w:jc w:val="both"/>
      </w:pPr>
      <w:r>
        <w:rPr>
          <w:rFonts w:ascii="Arial" w:cs="Arial" w:eastAsia="Arial" w:hAnsi="Arial"/>
          <w:sz w:val="24"/>
          <w:szCs w:val="24"/>
        </w:rPr>
        <w:t xml:space="preserve">8. Также статьей 17 проекта Закона предлагается установить нормы касательно расторжения трудового договора по требованию профсоюзного органа.</w:t>
      </w:r>
    </w:p>
    <w:p>
      <w:pPr>
        <w:spacing w:after="60"/>
        <w:ind w:firstLine="567"/>
        <w:jc w:val="both"/>
      </w:pPr>
      <w:r>
        <w:rPr>
          <w:rFonts w:ascii="Arial" w:cs="Arial" w:eastAsia="Arial" w:hAnsi="Arial"/>
          <w:sz w:val="24"/>
          <w:szCs w:val="24"/>
        </w:rPr>
        <w:t xml:space="preserve">Следует отметить, что основания и порядок расторжения трудового договора между работником и работодателем закреплены в </w:t>
      </w:r>
      <w:r>
        <w:rPr>
          <w:rFonts w:ascii="Arial" w:cs="Arial" w:eastAsia="Arial" w:hAnsi="Arial"/>
          <w:sz w:val="24"/>
          <w:szCs w:val="24"/>
        </w:rPr>
        <w:t xml:space="preserve">главе 9</w:t>
      </w:r>
      <w:r>
        <w:rPr>
          <w:rFonts w:ascii="Arial" w:cs="Arial" w:eastAsia="Arial" w:hAnsi="Arial"/>
          <w:sz w:val="24"/>
          <w:szCs w:val="24"/>
        </w:rPr>
        <w:t xml:space="preserve"> Трудового </w:t>
      </w:r>
      <w:hyperlink w:history="1" r:id="rIdkzvbiy0xpgszgtn97ouo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Также следует отметить, что основания прекращения государственной гражданской службы и муниципальной службы установлены </w:t>
      </w:r>
      <w:r>
        <w:rPr>
          <w:rFonts w:ascii="Arial" w:cs="Arial" w:eastAsia="Arial" w:hAnsi="Arial"/>
          <w:sz w:val="24"/>
          <w:szCs w:val="24"/>
        </w:rPr>
        <w:t xml:space="preserve">главой 9</w:t>
      </w:r>
      <w:r>
        <w:rPr>
          <w:rFonts w:ascii="Arial" w:cs="Arial" w:eastAsia="Arial" w:hAnsi="Arial"/>
          <w:sz w:val="24"/>
          <w:szCs w:val="24"/>
        </w:rPr>
        <w:t xml:space="preserve"> </w:t>
      </w:r>
      <w:hyperlink w:history="1" r:id="rId_o8nf5xdpwngnl2tg1ur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При этом, указанный </w:t>
      </w:r>
      <w:hyperlink w:history="1" r:id="rId_ru1wb66ogtseai9e1bi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и </w:t>
      </w:r>
      <w:hyperlink w:history="1" r:id="rIdpvthxaztcgtafqxovakw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не содержит оснований для освобождения от занимаемой должности работника по требованию профсоюзного органа.</w:t>
      </w:r>
    </w:p>
    <w:p>
      <w:pPr>
        <w:spacing w:after="60"/>
        <w:ind w:firstLine="567"/>
        <w:jc w:val="both"/>
      </w:pPr>
      <w:r>
        <w:rPr>
          <w:rFonts w:ascii="Arial" w:cs="Arial" w:eastAsia="Arial" w:hAnsi="Arial"/>
          <w:sz w:val="24"/>
          <w:szCs w:val="24"/>
        </w:rPr>
        <w:t xml:space="preserve">Кроме того, необходимо отметить, что согласно </w:t>
      </w:r>
      <w:r>
        <w:rPr>
          <w:rFonts w:ascii="Arial" w:cs="Arial" w:eastAsia="Arial" w:hAnsi="Arial"/>
          <w:sz w:val="24"/>
          <w:szCs w:val="24"/>
        </w:rPr>
        <w:t xml:space="preserve">статье 32</w:t>
      </w:r>
      <w:r>
        <w:rPr>
          <w:rFonts w:ascii="Arial" w:cs="Arial" w:eastAsia="Arial" w:hAnsi="Arial"/>
          <w:sz w:val="24"/>
          <w:szCs w:val="24"/>
        </w:rPr>
        <w:t xml:space="preserve"> </w:t>
      </w:r>
      <w:hyperlink w:history="1" r:id="rId_gqxjo0wyvayfwnitpdw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60"/>
        <w:ind w:firstLine="567"/>
        <w:jc w:val="both"/>
      </w:pPr>
      <w:hyperlink w:history="1" r:id="rIduav3glqrmwlf9chiqpxc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и муниципальной службе" направлен на повышение эффективности государственной гражданской службы и муниципальной службы, обеспечение преемственности, стабильности и независимости профессиональной служебной деятельности граждан Кыргызской Республики в государственных органах и органах местного самоуправления.</w:t>
      </w:r>
    </w:p>
    <w:p>
      <w:pPr>
        <w:spacing w:after="60"/>
        <w:ind w:firstLine="567"/>
        <w:jc w:val="both"/>
      </w:pPr>
      <w:r>
        <w:rPr>
          <w:rFonts w:ascii="Arial" w:cs="Arial" w:eastAsia="Arial" w:hAnsi="Arial"/>
          <w:sz w:val="24"/>
          <w:szCs w:val="24"/>
        </w:rPr>
        <w:t xml:space="preserve">Таким образом, отмечаем, что предлагаемая редакция статьи 17 проекта Закона вступает в противоречие со специальным законом, регулирующим порядок поступления на государственную службу.</w:t>
      </w:r>
    </w:p>
    <w:p>
      <w:pPr>
        <w:spacing w:after="60"/>
        <w:ind w:firstLine="567"/>
        <w:jc w:val="both"/>
      </w:pPr>
      <w:r>
        <w:rPr>
          <w:rFonts w:ascii="Arial" w:cs="Arial" w:eastAsia="Arial" w:hAnsi="Arial"/>
          <w:sz w:val="24"/>
          <w:szCs w:val="24"/>
        </w:rPr>
        <w:t xml:space="preserve">Также, согласно абзацу первому статьи 17 проекта Закона предусматривается, что по требованию профсоюзного органа работодатель обязан расторгнуть трудовой договор с должностным лицом государственного предприятия или сместить его с занимаемой должности, если он нарушает законодательство о труде или не выполняет обязательство по коллективному договору.</w:t>
      </w:r>
    </w:p>
    <w:p>
      <w:pPr>
        <w:spacing w:after="60"/>
        <w:ind w:firstLine="567"/>
        <w:jc w:val="both"/>
      </w:pPr>
      <w:r>
        <w:rPr>
          <w:rFonts w:ascii="Arial" w:cs="Arial" w:eastAsia="Arial" w:hAnsi="Arial"/>
          <w:sz w:val="24"/>
          <w:szCs w:val="24"/>
        </w:rPr>
        <w:t xml:space="preserve">В связи с этим предполагается, что данная норма будет применяться касательно должностных лиц государственных предприятий. При этом в справке-обосновании следует уточнить, каким нормативным актом будут руководствоваться при расторжении трудового договора должностные лица государственных органов и органов местного самоуправления, других государственных организаций, учреждений и т.д.</w:t>
      </w:r>
    </w:p>
    <w:p>
      <w:pPr>
        <w:spacing w:after="60"/>
        <w:ind w:firstLine="567"/>
        <w:jc w:val="both"/>
      </w:pPr>
      <w:r>
        <w:rPr>
          <w:rFonts w:ascii="Arial" w:cs="Arial" w:eastAsia="Arial" w:hAnsi="Arial"/>
          <w:sz w:val="24"/>
          <w:szCs w:val="24"/>
        </w:rPr>
        <w:t xml:space="preserve">Кроме этого, согласно абзацу третьему указанной статьи проекта Закона требование профсоюзного органа о расторжении трудового договора или отстранении от занимаемой должности может быть обжаловано в десятидневный срок должностным лицом или работодателем в вышестоящий профсоюзный орган, решение которого является окончательным.</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40</w:t>
      </w:r>
      <w:r>
        <w:rPr>
          <w:rFonts w:ascii="Arial" w:cs="Arial" w:eastAsia="Arial" w:hAnsi="Arial"/>
          <w:sz w:val="24"/>
          <w:szCs w:val="24"/>
        </w:rPr>
        <w:t xml:space="preserve"> </w:t>
      </w:r>
      <w:hyperlink w:history="1" r:id="rIdnu-rrvpgwf1cxhyxyzup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гарантируется судебная защита его прав и свобод, предусмотренных </w:t>
      </w:r>
      <w:hyperlink w:history="1" r:id="rIda38qrqonqssz9mbxh7zf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421</w:t>
      </w:r>
      <w:r>
        <w:rPr>
          <w:rFonts w:ascii="Arial" w:cs="Arial" w:eastAsia="Arial" w:hAnsi="Arial"/>
          <w:sz w:val="24"/>
          <w:szCs w:val="24"/>
        </w:rPr>
        <w:t xml:space="preserve"> Трудового </w:t>
      </w:r>
      <w:hyperlink w:history="1" r:id="rIdhrznl0o8pu2ao5-jibg3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непосредственно в суде рассматриваются индивидуальные трудовые споры по заявлениям работника о восстановлении на работе независимо от оснований прекращения трудового договора, о переводе на другую работу, об изменении даты и формулировки причины увольнения, об оплате за время вынужденного прогула либо о выплате разницы в заработной плате за время выполнения нижеоплачиваемой работы.</w:t>
      </w:r>
    </w:p>
    <w:p>
      <w:pPr>
        <w:spacing w:after="60"/>
        <w:ind w:firstLine="567"/>
        <w:jc w:val="both"/>
      </w:pPr>
      <w:r>
        <w:rPr>
          <w:rFonts w:ascii="Arial" w:cs="Arial" w:eastAsia="Arial" w:hAnsi="Arial"/>
          <w:sz w:val="24"/>
          <w:szCs w:val="24"/>
        </w:rPr>
        <w:t xml:space="preserve">9. Статьей 20 проекта Закона предлагается установить права профсоюзов в области социального страхования, социального обеспечения и охраны здоровья.</w:t>
      </w:r>
    </w:p>
    <w:p>
      <w:pPr>
        <w:spacing w:after="60"/>
        <w:ind w:firstLine="567"/>
        <w:jc w:val="both"/>
      </w:pPr>
      <w:r>
        <w:rPr>
          <w:rFonts w:ascii="Arial" w:cs="Arial" w:eastAsia="Arial" w:hAnsi="Arial"/>
          <w:sz w:val="24"/>
          <w:szCs w:val="24"/>
        </w:rPr>
        <w:t xml:space="preserve">Так, абзацем вторым статьи 20 проекта Закона установлено, что "Федерация профсоюзов является единственным централизованным получателем средств Фонда оздоровления трудящихся для реализации мероприятий по оздоровлению застрахованных лиц и членов их семей, находящихся на иждивении,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При этом отмечаем, что согласно </w:t>
      </w:r>
      <w:r>
        <w:rPr>
          <w:rFonts w:ascii="Arial" w:cs="Arial" w:eastAsia="Arial" w:hAnsi="Arial"/>
          <w:sz w:val="24"/>
          <w:szCs w:val="24"/>
        </w:rPr>
        <w:t xml:space="preserve">статье 5</w:t>
      </w:r>
      <w:r>
        <w:rPr>
          <w:rFonts w:ascii="Arial" w:cs="Arial" w:eastAsia="Arial" w:hAnsi="Arial"/>
          <w:sz w:val="24"/>
          <w:szCs w:val="24"/>
        </w:rPr>
        <w:t xml:space="preserve"> </w:t>
      </w:r>
      <w:hyperlink w:history="1" r:id="rIdfp7yggjjpdg_ylak24x1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бюджетную систему Социального фонда составляют бюджеты Пенсионного фонда, Государственного накопительного пенсионного фонда, Фонда обязательного медицинского страхования, Фонда оздоровления трудящихся.</w:t>
      </w:r>
    </w:p>
    <w:p>
      <w:pPr>
        <w:spacing w:after="60"/>
        <w:ind w:firstLine="567"/>
        <w:jc w:val="both"/>
      </w:pPr>
      <w:r>
        <w:rPr>
          <w:rFonts w:ascii="Arial" w:cs="Arial" w:eastAsia="Arial" w:hAnsi="Arial"/>
          <w:sz w:val="24"/>
          <w:szCs w:val="24"/>
        </w:rPr>
        <w:t xml:space="preserve">Проект бюджета Социального фонда ежегодно разрабатывается Социальным фондом с участием Фонда обязательного медицинского страхования при Правительстве Кыргызской Республики и уполномоченного органа по распределению средств Фонда оздоровления трудящихся, определяемого Правительством Кыргызской Республики, согласовывается с Наблюдательным советом по управлению государственным социальным страхованием и в установленном порядке направляется на рассмотрение Правительства Кыргызской Республики.</w:t>
      </w:r>
    </w:p>
    <w:p>
      <w:pPr>
        <w:spacing w:after="60"/>
        <w:ind w:firstLine="567"/>
        <w:jc w:val="both"/>
      </w:pPr>
      <w:r>
        <w:rPr>
          <w:rFonts w:ascii="Arial" w:cs="Arial" w:eastAsia="Arial" w:hAnsi="Arial"/>
          <w:sz w:val="24"/>
          <w:szCs w:val="24"/>
        </w:rPr>
        <w:t xml:space="preserve">При этом отмечаем, что в настоящее время уполномоченным органом по распределению средств Фонда оздоровления трудящихся, в соответствии с </w:t>
      </w:r>
      <w:hyperlink w:history="1" r:id="rIdpzlnt3kdfb4aeeukqa-l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Временного Правительства Кыргызской Республики "Об уполномоченном органе по распределению средств Фонда оздоровления трудящихся" от 27 мая 2010 года № 58 является Федерация профсоюзов Кыргызстана.</w:t>
      </w:r>
    </w:p>
    <w:p>
      <w:pPr>
        <w:spacing w:after="60"/>
        <w:ind w:firstLine="567"/>
        <w:jc w:val="both"/>
      </w:pPr>
      <w:r>
        <w:rPr>
          <w:rFonts w:ascii="Arial" w:cs="Arial" w:eastAsia="Arial" w:hAnsi="Arial"/>
          <w:sz w:val="24"/>
          <w:szCs w:val="24"/>
        </w:rPr>
        <w:t xml:space="preserve">С 1 июля 2009 года </w:t>
      </w:r>
      <w:hyperlink w:history="1" r:id="rIdyhbc1dyxwcpercmkbsar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установлен тариф страховых взносов для работодателей, индивидуальных предпринимателей, крестьянских фермерских хозяйств в размере 0,25 процента. Собранные средства Фонда оздоровления трудящихся ежемесячно в полном объеме направляются Социальным фондом Кыргызской Республики в Федерацию профсоюзов Кыргызской Республики.</w:t>
      </w:r>
    </w:p>
    <w:p>
      <w:pPr>
        <w:spacing w:after="60"/>
        <w:ind w:firstLine="567"/>
        <w:jc w:val="both"/>
      </w:pPr>
      <w:r>
        <w:rPr>
          <w:rFonts w:ascii="Arial" w:cs="Arial" w:eastAsia="Arial" w:hAnsi="Arial"/>
          <w:sz w:val="24"/>
          <w:szCs w:val="24"/>
        </w:rPr>
        <w:t xml:space="preserve">Принимая во внимание вышеизложенное, абзац второй статьи 20 проекта Закона предлагаем пересмотреть.</w:t>
      </w:r>
    </w:p>
    <w:p>
      <w:pPr>
        <w:spacing w:after="60"/>
        <w:ind w:firstLine="567"/>
        <w:jc w:val="both"/>
      </w:pPr>
      <w:r>
        <w:rPr>
          <w:rFonts w:ascii="Arial" w:cs="Arial" w:eastAsia="Arial" w:hAnsi="Arial"/>
          <w:sz w:val="24"/>
          <w:szCs w:val="24"/>
        </w:rPr>
        <w:t xml:space="preserve">10. Абзацем вторым статьи 21 проекта Закона предусматривается, что "для надзора и контроля за соблюдением законодательства о труде и охране труда профсоюзы создают правовую и техническую инспекции труда, имеющие одинаковые права с государственной инспекцией труда и действующие согласно положениям, утверждаемым Федерацией профсоюзов Кыргызской Республики".</w:t>
      </w:r>
    </w:p>
    <w:p>
      <w:pPr>
        <w:spacing w:after="60"/>
        <w:ind w:firstLine="567"/>
        <w:jc w:val="both"/>
      </w:pPr>
      <w:r>
        <w:rPr>
          <w:rFonts w:ascii="Arial" w:cs="Arial" w:eastAsia="Arial" w:hAnsi="Arial"/>
          <w:sz w:val="24"/>
          <w:szCs w:val="24"/>
        </w:rPr>
        <w:t xml:space="preserve">При этом, не ясно, какими полномочиями будет наделена техническая инспекция труда.</w:t>
      </w:r>
    </w:p>
    <w:p>
      <w:pPr>
        <w:spacing w:after="60"/>
        <w:ind w:firstLine="567"/>
        <w:jc w:val="both"/>
      </w:pPr>
      <w:r>
        <w:rPr>
          <w:rFonts w:ascii="Arial" w:cs="Arial" w:eastAsia="Arial" w:hAnsi="Arial"/>
          <w:sz w:val="24"/>
          <w:szCs w:val="24"/>
        </w:rPr>
        <w:t xml:space="preserve">В связи с этим, во избежание неясностей в правоприменительной практике указанный абзац статьи 21 проекта Закона предлагаем пересмотреть.</w:t>
      </w:r>
    </w:p>
    <w:p>
      <w:pPr>
        <w:spacing w:after="60"/>
        <w:ind w:firstLine="567"/>
        <w:jc w:val="both"/>
      </w:pPr>
      <w:r>
        <w:rPr>
          <w:rFonts w:ascii="Arial" w:cs="Arial" w:eastAsia="Arial" w:hAnsi="Arial"/>
          <w:sz w:val="24"/>
          <w:szCs w:val="24"/>
        </w:rPr>
        <w:t xml:space="preserve">11. В соответствии с абзацем пятым статьи 24 проекта Закона предлагается предусмотреть, что профсоюзы имеют право участвовать в заключении межгосударственных соглашений по вопросам миграции, занятости населения, труда, ценообразования и социального обеспечения.</w:t>
      </w:r>
    </w:p>
    <w:p>
      <w:pPr>
        <w:spacing w:after="60"/>
        <w:ind w:firstLine="567"/>
        <w:jc w:val="both"/>
      </w:pPr>
      <w:r>
        <w:rPr>
          <w:rFonts w:ascii="Arial" w:cs="Arial" w:eastAsia="Arial" w:hAnsi="Arial"/>
          <w:sz w:val="24"/>
          <w:szCs w:val="24"/>
        </w:rPr>
        <w:t xml:space="preserve">При этом следует отметить, что </w:t>
      </w:r>
      <w:hyperlink w:history="1" r:id="rId31zzx2xinipbi2jp5tg_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международных договорах Кыргызской Республики" устанавливает порядок заключения, исполнения, приостановления и денонсации международных договоров Кыргызской Республикой.</w:t>
      </w:r>
    </w:p>
    <w:p>
      <w:pPr>
        <w:spacing w:after="60"/>
        <w:ind w:firstLine="567"/>
        <w:jc w:val="both"/>
      </w:pPr>
      <w:r>
        <w:rPr>
          <w:rFonts w:ascii="Arial" w:cs="Arial" w:eastAsia="Arial" w:hAnsi="Arial"/>
          <w:sz w:val="24"/>
          <w:szCs w:val="24"/>
        </w:rPr>
        <w:t xml:space="preserve">Однако в данном </w:t>
      </w:r>
      <w:hyperlink w:history="1" r:id="rId28zofueepd2tdldow_fyf">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не предусматривается порядок участия профсоюзов при заключении межгосударственных соглашений по вопросам миграции, занятости населения, труда, ценообразования и социального обеспечения.</w:t>
      </w:r>
    </w:p>
    <w:p>
      <w:pPr>
        <w:spacing w:after="60"/>
        <w:ind w:firstLine="567"/>
        <w:jc w:val="both"/>
      </w:pPr>
      <w:r>
        <w:rPr>
          <w:rFonts w:ascii="Arial" w:cs="Arial" w:eastAsia="Arial" w:hAnsi="Arial"/>
          <w:sz w:val="24"/>
          <w:szCs w:val="24"/>
        </w:rPr>
        <w:t xml:space="preserve">12. Нормы статьи 26 проекта Закона регламентируют вопросы организации и проведения собраний, митингов, уличных шествий, демонстраций, забастовок и других коллективных акций.</w:t>
      </w:r>
    </w:p>
    <w:p>
      <w:pPr>
        <w:spacing w:after="60"/>
        <w:ind w:firstLine="567"/>
        <w:jc w:val="both"/>
      </w:pPr>
      <w:r>
        <w:rPr>
          <w:rFonts w:ascii="Arial" w:cs="Arial" w:eastAsia="Arial" w:hAnsi="Arial"/>
          <w:sz w:val="24"/>
          <w:szCs w:val="24"/>
        </w:rPr>
        <w:t xml:space="preserve">Указанные положения необходимо пересмотреть с учетом требований </w:t>
      </w:r>
      <w:hyperlink w:history="1" r:id="rIdfhhtrta7iygcel9whkqp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мирных собраниях". </w:t>
      </w:r>
      <w:r>
        <w:rPr>
          <w:rFonts w:ascii="Arial" w:cs="Arial" w:eastAsia="Arial" w:hAnsi="Arial"/>
          <w:sz w:val="24"/>
          <w:szCs w:val="24"/>
        </w:rPr>
        <w:t xml:space="preserve">Статья 3</w:t>
      </w:r>
      <w:r>
        <w:rPr>
          <w:rFonts w:ascii="Arial" w:cs="Arial" w:eastAsia="Arial" w:hAnsi="Arial"/>
          <w:sz w:val="24"/>
          <w:szCs w:val="24"/>
        </w:rPr>
        <w:t xml:space="preserve"> обозначенного Закона Кыргызской Республики предусматривает унифицированный термин "собрание", под которым понимается преднамеренное и временное пребывание ряда лиц в местах, открытых для общественного доступа, с целью привлечения внимания государственных органов и органов местного самоуправления, общественного внимания, включая выражение мнения по каким-либо вопросам. Названный </w:t>
      </w:r>
      <w:hyperlink w:history="1" r:id="rIdusp9arb6cm6nsy_skf2z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не классифицирует различные собрания, обозначая их единым вышеуказанным термином.</w:t>
      </w:r>
    </w:p>
    <w:p>
      <w:pPr>
        <w:spacing w:after="60"/>
        <w:ind w:firstLine="567"/>
        <w:jc w:val="both"/>
      </w:pPr>
      <w:r>
        <w:rPr>
          <w:rFonts w:ascii="Arial" w:cs="Arial" w:eastAsia="Arial" w:hAnsi="Arial"/>
          <w:sz w:val="24"/>
          <w:szCs w:val="24"/>
        </w:rPr>
        <w:t xml:space="preserve">Ввиду чего, редакцию статьи 26 проекта Закона предлагаем пересмотреть.</w:t>
      </w:r>
    </w:p>
    <w:p>
      <w:pPr>
        <w:spacing w:after="60"/>
        <w:ind w:firstLine="567"/>
        <w:jc w:val="both"/>
      </w:pPr>
      <w:r>
        <w:rPr>
          <w:rFonts w:ascii="Arial" w:cs="Arial" w:eastAsia="Arial" w:hAnsi="Arial"/>
          <w:sz w:val="24"/>
          <w:szCs w:val="24"/>
        </w:rPr>
        <w:t xml:space="preserve">13. В соответствии со статьей 27 проекта Закона увольнение по инициативе работодателя неосвобожденных от производственной работы председателей профсоюзных комитетов, членов профкома, профсоюзных организаторов допускается лишь с согласия вышестоящего профсоюзного органа.</w:t>
      </w:r>
    </w:p>
    <w:p>
      <w:pPr>
        <w:spacing w:after="60"/>
        <w:ind w:firstLine="567"/>
        <w:jc w:val="both"/>
      </w:pPr>
      <w:r>
        <w:rPr>
          <w:rFonts w:ascii="Arial" w:cs="Arial" w:eastAsia="Arial" w:hAnsi="Arial"/>
          <w:sz w:val="24"/>
          <w:szCs w:val="24"/>
        </w:rPr>
        <w:t xml:space="preserve">При этом, поскольку вышеуказанная статья проекта Закона вступает в противоречие с Трудовым </w:t>
      </w:r>
      <w:hyperlink w:history="1" r:id="rIdybk5jznsfweficl3oiyh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предлагаем редакцию статьи 27 проекта Закона привести в соответствие со </w:t>
      </w:r>
      <w:r>
        <w:rPr>
          <w:rFonts w:ascii="Arial" w:cs="Arial" w:eastAsia="Arial" w:hAnsi="Arial"/>
          <w:sz w:val="24"/>
          <w:szCs w:val="24"/>
        </w:rPr>
        <w:t xml:space="preserve">статьей 84</w:t>
      </w:r>
      <w:r>
        <w:rPr>
          <w:rFonts w:ascii="Arial" w:cs="Arial" w:eastAsia="Arial" w:hAnsi="Arial"/>
          <w:sz w:val="24"/>
          <w:szCs w:val="24"/>
        </w:rPr>
        <w:t xml:space="preserve"> названного </w:t>
      </w:r>
      <w:hyperlink w:history="1" r:id="rIdekq3chje-u390uwkqcmj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регламентирующего вопросы расторжения трудового договора по инициативе работодателя с предварительного согласия профсоюзной организации либо иного представительного органа работников.</w:t>
      </w:r>
    </w:p>
    <w:p>
      <w:pPr>
        <w:spacing w:after="60"/>
        <w:ind w:firstLine="567"/>
        <w:jc w:val="both"/>
      </w:pPr>
      <w:r>
        <w:rPr>
          <w:rFonts w:ascii="Arial" w:cs="Arial" w:eastAsia="Arial" w:hAnsi="Arial"/>
          <w:sz w:val="24"/>
          <w:szCs w:val="24"/>
        </w:rPr>
        <w:t xml:space="preserve">14. В части 2 статьи 33 проекта Закона слова "создавать профсоюзные банки, страховые, культурно-просветительные и другие фонды, а также" считаем целесообразным пересмотреть, так как создание банков, страховых и других фондов регулируется отдельными законами, и профессиональные союзы не отвечают требованиям, предъявляемых при их создании.</w:t>
      </w:r>
    </w:p>
    <w:p>
      <w:pPr>
        <w:spacing w:after="60"/>
        <w:ind w:firstLine="567"/>
        <w:jc w:val="both"/>
      </w:pPr>
      <w:r>
        <w:rPr>
          <w:rFonts w:ascii="Arial" w:cs="Arial" w:eastAsia="Arial" w:hAnsi="Arial"/>
          <w:sz w:val="24"/>
          <w:szCs w:val="24"/>
        </w:rPr>
        <w:t xml:space="preserve">15. В части 1 статьи 34 проекта Закона термин "административная ответственность" предлагаем пересмотреть, так как </w:t>
      </w:r>
      <w:hyperlink w:history="1" r:id="rIdxysgh_4ielsku550tk1r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утратил силу.</w:t>
      </w:r>
    </w:p>
    <w:p>
      <w:pPr>
        <w:spacing w:after="60"/>
        <w:ind w:firstLine="567"/>
        <w:jc w:val="both"/>
      </w:pPr>
      <w:r>
        <w:rPr>
          <w:rFonts w:ascii="Arial" w:cs="Arial" w:eastAsia="Arial" w:hAnsi="Arial"/>
          <w:sz w:val="24"/>
          <w:szCs w:val="24"/>
        </w:rPr>
        <w:t xml:space="preserve">16. Частью 3 статьи 35 проекта Закона предусматривается, что "при несоблюдении требований профсоюзы ликвидируются в судебном порядке по обращению органов прокуратуры Кыргызской Республики на основании сведений органов юстиции, а их имущество переходит в собственность Федерации профсоюзов Кыргызстана".</w:t>
      </w:r>
    </w:p>
    <w:p>
      <w:pPr>
        <w:spacing w:after="60"/>
        <w:ind w:firstLine="567"/>
        <w:jc w:val="both"/>
      </w:pPr>
      <w:r>
        <w:rPr>
          <w:rFonts w:ascii="Arial" w:cs="Arial" w:eastAsia="Arial" w:hAnsi="Arial"/>
          <w:sz w:val="24"/>
          <w:szCs w:val="24"/>
        </w:rPr>
        <w:t xml:space="preserve">Однако необходимо отметить, что Гражданским </w:t>
      </w:r>
      <w:hyperlink w:history="1" r:id="rIdorigtahioglkg1yfy1s5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установлен порядок ликвидации юридического лица.</w:t>
      </w:r>
    </w:p>
    <w:p>
      <w:pPr>
        <w:spacing w:after="60"/>
        <w:ind w:firstLine="567"/>
        <w:jc w:val="both"/>
      </w:pPr>
      <w:r>
        <w:rPr>
          <w:rFonts w:ascii="Arial" w:cs="Arial" w:eastAsia="Arial" w:hAnsi="Arial"/>
          <w:sz w:val="24"/>
          <w:szCs w:val="24"/>
        </w:rPr>
        <w:t xml:space="preserve">Кроме того, отмечаем, что учредители (участники) юридического лица или орган, принявшие решение о ликвидации юридического лица, назначают ликвидационную комиссию (ликвидатора) и устанавливают в соответствии с вышеуказанным </w:t>
      </w:r>
      <w:hyperlink w:history="1" r:id="rId43-ewh0c_c8xo81tndu7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порядок и сроки ликвидации.</w:t>
      </w:r>
    </w:p>
    <w:p>
      <w:pPr>
        <w:spacing w:after="60"/>
        <w:ind w:firstLine="567"/>
        <w:jc w:val="both"/>
      </w:pPr>
      <w:r>
        <w:rPr>
          <w:rFonts w:ascii="Arial" w:cs="Arial" w:eastAsia="Arial" w:hAnsi="Arial"/>
          <w:sz w:val="24"/>
          <w:szCs w:val="24"/>
        </w:rPr>
        <w:t xml:space="preserve">Также следует отметить, что 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w:t>
      </w:r>
      <w:hyperlink w:history="1" r:id="rIdzonygggeuyega9jyykav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в уставе некоммерческой организации определяется порядок распределения имущества в случае ликвидации.</w:t>
      </w:r>
    </w:p>
    <w:p>
      <w:pPr>
        <w:spacing w:after="60"/>
        <w:ind w:firstLine="567"/>
        <w:jc w:val="both"/>
      </w:pPr>
      <w:r>
        <w:rPr>
          <w:rFonts w:ascii="Arial" w:cs="Arial" w:eastAsia="Arial" w:hAnsi="Arial"/>
          <w:sz w:val="24"/>
          <w:szCs w:val="24"/>
        </w:rPr>
        <w:t xml:space="preserve">С учетом изложенного часть 3 статьи 35 проекта Закона предлагаем пересмотреть.</w:t>
      </w:r>
    </w:p>
    <w:p>
      <w:pPr>
        <w:spacing w:after="60"/>
        <w:ind w:firstLine="567"/>
        <w:jc w:val="both"/>
      </w:pPr>
      <w:r>
        <w:rPr>
          <w:rFonts w:ascii="Arial" w:cs="Arial" w:eastAsia="Arial" w:hAnsi="Arial"/>
          <w:sz w:val="24"/>
          <w:szCs w:val="24"/>
        </w:rPr>
        <w:t xml:space="preserve">17. Частью 1 статьи 36 проекта Закона предусматривается, что проект Закона вступает в силу со дня его официального опубликования.</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30</w:t>
      </w:r>
      <w:r>
        <w:rPr>
          <w:rFonts w:ascii="Arial" w:cs="Arial" w:eastAsia="Arial" w:hAnsi="Arial"/>
          <w:sz w:val="24"/>
          <w:szCs w:val="24"/>
        </w:rPr>
        <w:t xml:space="preserve"> </w:t>
      </w:r>
      <w:hyperlink w:history="1" r:id="rIdkgjb-nc-bwycljcip8mh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официальное опубликование нормативных правовых актов является обязательным условием вступления их в силу.</w:t>
      </w:r>
    </w:p>
    <w:p>
      <w:pPr>
        <w:spacing w:after="60"/>
        <w:ind w:firstLine="567"/>
        <w:jc w:val="both"/>
      </w:pPr>
      <w:r>
        <w:rPr>
          <w:rFonts w:ascii="Arial" w:cs="Arial" w:eastAsia="Arial" w:hAnsi="Arial"/>
          <w:sz w:val="24"/>
          <w:szCs w:val="24"/>
        </w:rPr>
        <w:t xml:space="preserve">При этом, нормативные правовые акты вступают в силу по истечении пятнадцати дней со дня официального опубликования, если иное не предусмотрено в самом нормативном правовом акте. Нормативные правовые акты, регулирующие предпринимательскую деятельность, вступают в силу не ранее пятнадцати дней со дня официального опубликования.</w:t>
      </w:r>
    </w:p>
    <w:p>
      <w:pPr>
        <w:spacing w:after="60"/>
        <w:ind w:firstLine="567"/>
        <w:jc w:val="both"/>
      </w:pPr>
      <w:r>
        <w:rPr>
          <w:rFonts w:ascii="Arial" w:cs="Arial" w:eastAsia="Arial" w:hAnsi="Arial"/>
          <w:sz w:val="24"/>
          <w:szCs w:val="24"/>
        </w:rPr>
        <w:t xml:space="preserve">Также следует учесть, что согласно </w:t>
      </w:r>
      <w:r>
        <w:rPr>
          <w:rFonts w:ascii="Arial" w:cs="Arial" w:eastAsia="Arial" w:hAnsi="Arial"/>
          <w:sz w:val="24"/>
          <w:szCs w:val="24"/>
        </w:rPr>
        <w:t xml:space="preserve">статье 28</w:t>
      </w:r>
      <w:r>
        <w:rPr>
          <w:rFonts w:ascii="Arial" w:cs="Arial" w:eastAsia="Arial" w:hAnsi="Arial"/>
          <w:sz w:val="24"/>
          <w:szCs w:val="24"/>
        </w:rPr>
        <w:t xml:space="preserve"> </w:t>
      </w:r>
      <w:hyperlink w:history="1" r:id="rIdpky1ed0uhcltlrzfente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включаются в Государственный реестр нормативных правовых актов Кыргызской Республики в течение 7 рабочих дней со дня официального опубликования. При этом нормативный правовой акт, не включенный в Государственный реестр нормативных правовых актов, не имеет юридической силы.</w:t>
      </w:r>
    </w:p>
    <w:p>
      <w:pPr>
        <w:spacing w:after="60"/>
        <w:ind w:firstLine="567"/>
        <w:jc w:val="both"/>
      </w:pPr>
      <w:r>
        <w:rPr>
          <w:rFonts w:ascii="Arial" w:cs="Arial" w:eastAsia="Arial" w:hAnsi="Arial"/>
          <w:sz w:val="24"/>
          <w:szCs w:val="24"/>
        </w:rPr>
        <w:t xml:space="preserve">18. Статьей 32 проекта Закона предлагается предусмотреть членские профсоюзные взносы.</w:t>
      </w:r>
    </w:p>
    <w:p>
      <w:pPr>
        <w:spacing w:after="60"/>
        <w:ind w:firstLine="567"/>
        <w:jc w:val="both"/>
      </w:pPr>
      <w:r>
        <w:rPr>
          <w:rFonts w:ascii="Arial" w:cs="Arial" w:eastAsia="Arial" w:hAnsi="Arial"/>
          <w:sz w:val="24"/>
          <w:szCs w:val="24"/>
        </w:rPr>
        <w:t xml:space="preserve">Поскольку профсоюзные взносы будут производиться из заработной платы работников, предлагаем проектом Закона предусмотреть нормы о подотчетности профсоюзов перед работниками.</w:t>
      </w:r>
    </w:p>
    <w:p>
      <w:pPr>
        <w:spacing w:after="60"/>
        <w:ind w:firstLine="567"/>
        <w:jc w:val="both"/>
      </w:pPr>
      <w:r>
        <w:rPr>
          <w:rFonts w:ascii="Arial" w:cs="Arial" w:eastAsia="Arial" w:hAnsi="Arial"/>
          <w:sz w:val="24"/>
          <w:szCs w:val="24"/>
        </w:rPr>
        <w:t xml:space="preserve">Предлагаем также в проекте Закона предусмотреть пункт, где будут прописаны нормы распространения данного законопроекта, поскольку не ясно, будут ли распространяться положения предлагаемого законопроекта в отношении лиц, замещающих политические или специальные должности органов государственной власти и органов местного самоуправления.</w:t>
      </w:r>
    </w:p>
    <w:p>
      <w:pPr>
        <w:spacing w:after="60"/>
        <w:ind w:firstLine="567"/>
        <w:jc w:val="both"/>
      </w:pPr>
      <w:r>
        <w:rPr>
          <w:rFonts w:ascii="Arial" w:cs="Arial" w:eastAsia="Arial" w:hAnsi="Arial"/>
          <w:sz w:val="24"/>
          <w:szCs w:val="24"/>
        </w:rPr>
        <w:t xml:space="preserve">19. Согласно пункту 78 </w:t>
      </w:r>
      <w:hyperlink w:history="1" r:id="rIdl2zcea6wzmdydt2wca4w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законодательной технике, утвержденной </w:t>
      </w:r>
      <w:hyperlink w:history="1" r:id="rIdutxuircpycyef3-xfrub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26 июня 2015 года № 5389-V, бланкетные ссылки на законодательство в целом не допускаются.</w:t>
      </w:r>
    </w:p>
    <w:p>
      <w:pPr>
        <w:spacing w:after="60"/>
        <w:ind w:firstLine="567"/>
        <w:jc w:val="both"/>
      </w:pPr>
      <w:r>
        <w:rPr>
          <w:rFonts w:ascii="Arial" w:cs="Arial" w:eastAsia="Arial" w:hAnsi="Arial"/>
          <w:sz w:val="24"/>
          <w:szCs w:val="24"/>
        </w:rPr>
        <w:t xml:space="preserve">В связи с этим часть 2 статьи 12, статьи 13 и 26, часть 1 статьи 34 проекта Закона предлагаем пересмотреть.</w:t>
      </w:r>
    </w:p>
    <w:p>
      <w:pPr>
        <w:spacing w:after="60"/>
        <w:ind w:firstLine="567"/>
        <w:jc w:val="both"/>
      </w:pPr>
      <w:r>
        <w:rPr>
          <w:rFonts w:ascii="Arial" w:cs="Arial" w:eastAsia="Arial" w:hAnsi="Arial"/>
          <w:sz w:val="24"/>
          <w:szCs w:val="24"/>
        </w:rPr>
        <w:t xml:space="preserve">20. Также обращаем внимание на то, что предлагаемые некоторые неконкретные формулировки будут способствовать появлению коррупционных проявлений в правоприменительной практике, так как данные положения являются обобщенными и носят оценочный характер, и соответственно представляют соответствующим субъектам дискреционные полномочия по своему усмотрению толковать ту или иную ситуацию.</w:t>
      </w:r>
    </w:p>
    <w:p>
      <w:pPr>
        <w:spacing w:after="60"/>
        <w:ind w:firstLine="567"/>
        <w:jc w:val="both"/>
      </w:pPr>
      <w:r>
        <w:rPr>
          <w:rFonts w:ascii="Arial" w:cs="Arial" w:eastAsia="Arial" w:hAnsi="Arial"/>
          <w:sz w:val="24"/>
          <w:szCs w:val="24"/>
        </w:rPr>
        <w:t xml:space="preserve">В частности, в части 2 статьи 2 проекта Закона предлагается предусмотреть особенности применения настоящего Закона в отношении Вооруженных Сил, органов внутренних дел, органов национальной безопасности, внутренних войск, государственных и муниципальных служащих, которые определяются соответствующими законами Кыргызской Республики.</w:t>
      </w:r>
    </w:p>
    <w:p>
      <w:pPr>
        <w:spacing w:after="60"/>
        <w:ind w:firstLine="567"/>
        <w:jc w:val="both"/>
      </w:pPr>
      <w:r>
        <w:rPr>
          <w:rFonts w:ascii="Arial" w:cs="Arial" w:eastAsia="Arial" w:hAnsi="Arial"/>
          <w:sz w:val="24"/>
          <w:szCs w:val="24"/>
        </w:rPr>
        <w:t xml:space="preserve">При этом необходимо отметить, что слово "соответствующими" создает коррупциогенный фактор и предоставляет право субъектам по своему усмотрению, не руководствуясь четкими, законодательно закрепленными критериями, толковать ту или иную ситуацию.</w:t>
      </w:r>
    </w:p>
    <w:p>
      <w:pPr>
        <w:spacing w:after="60"/>
        <w:ind w:firstLine="567"/>
        <w:jc w:val="both"/>
      </w:pPr>
      <w:r>
        <w:rPr>
          <w:rFonts w:ascii="Arial" w:cs="Arial" w:eastAsia="Arial" w:hAnsi="Arial"/>
          <w:sz w:val="24"/>
          <w:szCs w:val="24"/>
        </w:rPr>
        <w:t xml:space="preserve">Дополнительно, в порядке информации сообщаем о том, что ранее Федерацией профсоюзов Кыргызстана в Жогорку Кенеш Кыргызской Республики были направлены замечания и предложения, а также комментарии Международного бюро труда к проекту Закона.</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данного проекта Закона, с учетом замечаний и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i2tfikaapcnrzq_z8i6-">
      <w:r>
        <w:rPr>
          <w:rFonts w:ascii="Arial" w:cs="Arial" w:eastAsia="Arial" w:hAnsi="Arial"/>
          <w:color w:val="132D3F"/>
          <w:sz w:val="16"/>
          <w:szCs w:val="16"/>
          <w:u w:val="single"/>
        </w:rPr>
        <w:t xml:space="preserve">dalil.kg/document/14551</w:t>
      </w:r>
    </w:hyperlink>
  </w:p>
  <w:p>
    <w:pPr>
      <w:spacing w:after="0" w:before="40"/>
      <w:jc w:val="center"/>
    </w:pPr>
    <w:hyperlink w:history="1" r:id="rIdqshuxfaox0hicgwz1tbz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uifjxocot4x93elkbgg" Type="http://schemas.openxmlformats.org/officeDocument/2006/relationships/hyperlink" Target="https://dalil.kg/document/203685" TargetMode="External"/><Relationship Id="rIdga9blh7jcsz-hmht9zgeg" Type="http://schemas.openxmlformats.org/officeDocument/2006/relationships/hyperlink" Target="https://dalil.kg/document/14551#p1" TargetMode="External"/><Relationship Id="rIdvjkp6_5ar8eq4exbqvwnr" Type="http://schemas.openxmlformats.org/officeDocument/2006/relationships/hyperlink" Target="https://dalil.kg/document/203685" TargetMode="External"/><Relationship Id="rId4s_jfm_j1cy7ff348w2wh" Type="http://schemas.openxmlformats.org/officeDocument/2006/relationships/hyperlink" Target="https://dalil.kg/document/202913" TargetMode="External"/><Relationship Id="rIdqemftiqfzsl7irha4xc6x" Type="http://schemas.openxmlformats.org/officeDocument/2006/relationships/hyperlink" Target="https://dalil.kg/document/202913" TargetMode="External"/><Relationship Id="rIdukpbmlehlgmk-uggbvpjz" Type="http://schemas.openxmlformats.org/officeDocument/2006/relationships/hyperlink" Target="https://dalil.kg/document/202913" TargetMode="External"/><Relationship Id="rId4yvqlpiokyor-q-1dscfd" Type="http://schemas.openxmlformats.org/officeDocument/2006/relationships/hyperlink" Target="https://dalil.kg/document/202913" TargetMode="External"/><Relationship Id="rIdsyqvf3opkscwpnqr7m7qk" Type="http://schemas.openxmlformats.org/officeDocument/2006/relationships/hyperlink" Target="https://dalil.kg/document/202913" TargetMode="External"/><Relationship Id="rIdcit3rf033_ixtqwcxx8nh" Type="http://schemas.openxmlformats.org/officeDocument/2006/relationships/hyperlink" Target="https://dalil.kg/document/202913" TargetMode="External"/><Relationship Id="rIdtkfy4njol3dtionztdqvw" Type="http://schemas.openxmlformats.org/officeDocument/2006/relationships/hyperlink" Target="https://dalil.kg/document/202913" TargetMode="External"/><Relationship Id="rIdars3h2eqdoxr61si5hmxi" Type="http://schemas.openxmlformats.org/officeDocument/2006/relationships/hyperlink" Target="https://dalil.kg/document/202621" TargetMode="External"/><Relationship Id="rIdkzvbiy0xpgszgtn97ouop" Type="http://schemas.openxmlformats.org/officeDocument/2006/relationships/hyperlink" Target="https://dalil.kg/document/1505" TargetMode="External"/><Relationship Id="rId_o8nf5xdpwngnl2tg1ur7" Type="http://schemas.openxmlformats.org/officeDocument/2006/relationships/hyperlink" Target="https://dalil.kg/document/111354" TargetMode="External"/><Relationship Id="rId_ru1wb66ogtseai9e1bix" Type="http://schemas.openxmlformats.org/officeDocument/2006/relationships/hyperlink" Target="https://dalil.kg/document/1505" TargetMode="External"/><Relationship Id="rIdpvthxaztcgtafqxovakws" Type="http://schemas.openxmlformats.org/officeDocument/2006/relationships/hyperlink" Target="https://dalil.kg/document/111354" TargetMode="External"/><Relationship Id="rId_gqxjo0wyvayfwnitpdwn" Type="http://schemas.openxmlformats.org/officeDocument/2006/relationships/hyperlink" Target="https://dalil.kg/document/202591" TargetMode="External"/><Relationship Id="rIduav3glqrmwlf9chiqpxcn" Type="http://schemas.openxmlformats.org/officeDocument/2006/relationships/hyperlink" Target="https://dalil.kg/document/111354" TargetMode="External"/><Relationship Id="rIdnu-rrvpgwf1cxhyxyzupu" Type="http://schemas.openxmlformats.org/officeDocument/2006/relationships/hyperlink" Target="https://dalil.kg/document/202913" TargetMode="External"/><Relationship Id="rIda38qrqonqssz9mbxh7zft" Type="http://schemas.openxmlformats.org/officeDocument/2006/relationships/hyperlink" Target="https://dalil.kg/document/202913" TargetMode="External"/><Relationship Id="rIdhrznl0o8pu2ao5-jibg3p" Type="http://schemas.openxmlformats.org/officeDocument/2006/relationships/hyperlink" Target="https://dalil.kg/document/1505" TargetMode="External"/><Relationship Id="rIdfp7yggjjpdg_ylak24x1a" Type="http://schemas.openxmlformats.org/officeDocument/2006/relationships/hyperlink" Target="https://dalil.kg/document/1502" TargetMode="External"/><Relationship Id="rIdpzlnt3kdfb4aeeukqa-lk" Type="http://schemas.openxmlformats.org/officeDocument/2006/relationships/hyperlink" Target="https://dalil.kg/document/60058" TargetMode="External"/><Relationship Id="rIdyhbc1dyxwcpercmkbsard" Type="http://schemas.openxmlformats.org/officeDocument/2006/relationships/hyperlink" Target="https://dalil.kg/document/1393" TargetMode="External"/><Relationship Id="rId31zzx2xinipbi2jp5tg_8" Type="http://schemas.openxmlformats.org/officeDocument/2006/relationships/hyperlink" Target="https://dalil.kg/document/205286" TargetMode="External"/><Relationship Id="rId28zofueepd2tdldow_fyf" Type="http://schemas.openxmlformats.org/officeDocument/2006/relationships/hyperlink" Target="https://dalil.kg/document/205286" TargetMode="External"/><Relationship Id="rIdfhhtrta7iygcel9whkqpi" Type="http://schemas.openxmlformats.org/officeDocument/2006/relationships/hyperlink" Target="https://dalil.kg/document/203664" TargetMode="External"/><Relationship Id="rIdusp9arb6cm6nsy_skf2zv" Type="http://schemas.openxmlformats.org/officeDocument/2006/relationships/hyperlink" Target="https://dalil.kg/document/203664" TargetMode="External"/><Relationship Id="rIdybk5jznsfweficl3oiyhe" Type="http://schemas.openxmlformats.org/officeDocument/2006/relationships/hyperlink" Target="https://dalil.kg/document/1505" TargetMode="External"/><Relationship Id="rIdekq3chje-u390uwkqcmj1" Type="http://schemas.openxmlformats.org/officeDocument/2006/relationships/hyperlink" Target="https://dalil.kg/document/1505" TargetMode="External"/><Relationship Id="rIdxysgh_4ielsku550tk1rw" Type="http://schemas.openxmlformats.org/officeDocument/2006/relationships/hyperlink" Target="https://dalil.kg/document/6" TargetMode="External"/><Relationship Id="rIdorigtahioglkg1yfy1s5y" Type="http://schemas.openxmlformats.org/officeDocument/2006/relationships/hyperlink" Target="https://dalil.kg/document/4" TargetMode="External"/><Relationship Id="rId43-ewh0c_c8xo81tndu7h" Type="http://schemas.openxmlformats.org/officeDocument/2006/relationships/hyperlink" Target="https://dalil.kg/document/4" TargetMode="External"/><Relationship Id="rIdzonygggeuyega9jyykavl" Type="http://schemas.openxmlformats.org/officeDocument/2006/relationships/hyperlink" Target="https://dalil.kg/document/274" TargetMode="External"/><Relationship Id="rIdkgjb-nc-bwycljcip8mhg" Type="http://schemas.openxmlformats.org/officeDocument/2006/relationships/hyperlink" Target="https://dalil.kg/document/202591" TargetMode="External"/><Relationship Id="rIdpky1ed0uhcltlrzfentez" Type="http://schemas.openxmlformats.org/officeDocument/2006/relationships/hyperlink" Target="https://dalil.kg/document/202591" TargetMode="External"/><Relationship Id="rIdl2zcea6wzmdydt2wca4wv" Type="http://schemas.openxmlformats.org/officeDocument/2006/relationships/hyperlink" Target="https://dalil.kg/document/76491" TargetMode="External"/><Relationship Id="rIdutxuircpycyef3-xfrubo" Type="http://schemas.openxmlformats.org/officeDocument/2006/relationships/hyperlink" Target="https://dalil.kg/document/76490"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i2tfikaapcnrzq_z8i6-" Type="http://schemas.openxmlformats.org/officeDocument/2006/relationships/hyperlink" Target="https://dalil.kg/document/14551" TargetMode="External"/><Relationship Id="rIdqshuxfaox0hicgwz1tbz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2026-10-03T16:59:08.927Z</dcterms:created>
  <dcterms:modified xsi:type="dcterms:W3CDTF">2026-10-03T16:59:08.927Z</dcterms:modified>
</cp:coreProperties>
</file>

<file path=docProps/custom.xml><?xml version="1.0" encoding="utf-8"?>
<Properties xmlns="http://schemas.openxmlformats.org/officeDocument/2006/custom-properties" xmlns:vt="http://schemas.openxmlformats.org/officeDocument/2006/docPropsVTypes"/>
</file>