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ujjm2tmi3ns6cr_28jb4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сентября 2019 года № 465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июня 2019 года № 270</w:t>
      </w:r>
    </w:p>
    <w:p>
      <w:pPr>
        <w:spacing w:after="400" w:before="400"/>
        <w:jc w:val="center"/>
      </w:pPr>
      <w:r>
        <w:rPr>
          <w:rFonts w:ascii="Arial" w:cs="Arial" w:eastAsia="Arial" w:hAnsi="Arial"/>
          <w:b/>
          <w:bCs/>
          <w:sz w:val="28"/>
          <w:szCs w:val="28"/>
        </w:rPr>
        <w:t xml:space="preserve">О Среднесрочном прогнозе социально-экономического развития Кыргызской Республики на 2020-2022 годы</w:t>
      </w:r>
    </w:p>
    <w:p>
      <w:pPr>
        <w:spacing w:after="60"/>
        <w:ind w:firstLine="567"/>
        <w:jc w:val="both"/>
      </w:pPr>
      <w:r>
        <w:rPr>
          <w:rFonts w:ascii="Arial" w:cs="Arial" w:eastAsia="Arial" w:hAnsi="Arial"/>
          <w:sz w:val="24"/>
          <w:szCs w:val="24"/>
        </w:rPr>
        <w:t xml:space="preserve">В целях определения макроэкономических параметров развития на среднесрочный период, в соответствии с Бюджетным </w:t>
      </w:r>
      <w:hyperlink w:history="1" r:id="rIdp1dfmxrgw9b6bnllys9y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ibdp5q0dqd4yyws7erkt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w:t>
      </w:r>
      <w:hyperlink w:history="1" r:id="rIdjhfrj6hldnzo1j7ydxv8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w:t>
      </w:r>
      <w:hyperlink w:history="1" r:id="rIdgvyulpgjgrrfwmv1j5lbf">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2020-2022 годы согласно приложению.</w:t>
      </w:r>
    </w:p>
    <w:p>
      <w:pPr>
        <w:spacing w:after="60"/>
        <w:ind w:firstLine="567"/>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на 2020-2022 годы принять за основу утвержденные макроэкономические параметры развития Кыргызской Республики на 2020-2022 годы.</w:t>
      </w:r>
    </w:p>
    <w:p>
      <w:pPr>
        <w:spacing w:after="60"/>
        <w:ind w:firstLine="567"/>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w:t>
      </w:r>
    </w:p>
    <w:p>
      <w:pPr>
        <w:spacing w:after="60"/>
        <w:ind w:firstLine="567"/>
        <w:jc w:val="both"/>
      </w:pPr>
      <w:r>
        <w:rPr>
          <w:rFonts w:ascii="Arial" w:cs="Arial" w:eastAsia="Arial" w:hAnsi="Arial"/>
          <w:sz w:val="24"/>
          <w:szCs w:val="24"/>
        </w:rPr>
        <w:t xml:space="preserve">- принять за основу утвержденные макроэкономические параметры развития на 2020-2022 годы при разработке среднесрочных программ и стратегий развития;</w:t>
      </w:r>
    </w:p>
    <w:p>
      <w:pPr>
        <w:spacing w:after="60"/>
        <w:ind w:firstLine="567"/>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и не позднее 15 числа месяца, следующего за отчетным периодом, представлять в Министерство экономики Кыргызской Республики информацию о ходе выполнения ожидаемых целевых показателей социально-экономического развития Кыргызской Республики на 2019 год.</w:t>
      </w:r>
    </w:p>
    <w:p>
      <w:pPr>
        <w:spacing w:after="60"/>
        <w:ind w:firstLine="567"/>
        <w:jc w:val="both"/>
      </w:pPr>
      <w:r>
        <w:rPr>
          <w:rFonts w:ascii="Arial" w:cs="Arial" w:eastAsia="Arial" w:hAnsi="Arial"/>
          <w:sz w:val="24"/>
          <w:szCs w:val="24"/>
        </w:rPr>
        <w:t xml:space="preserve">4. Министерству экономики Кыргызской Республики:</w:t>
      </w:r>
    </w:p>
    <w:p>
      <w:pPr>
        <w:spacing w:after="60"/>
        <w:ind w:firstLine="567"/>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и не позднее 25 числа месяца, следующего за отчетным кварталом, представлять в Правительство Кыргызской Республики информацию о выполнении ожидаемых целевых показателей социально-экономического развития Кыргызской Республики на 2019 год;</w:t>
      </w:r>
    </w:p>
    <w:p>
      <w:pPr>
        <w:spacing w:after="60"/>
        <w:ind w:firstLine="567"/>
        <w:jc w:val="both"/>
      </w:pPr>
      <w:r>
        <w:rPr>
          <w:rFonts w:ascii="Arial" w:cs="Arial" w:eastAsia="Arial" w:hAnsi="Arial"/>
          <w:sz w:val="24"/>
          <w:szCs w:val="24"/>
        </w:rPr>
        <w:t xml:space="preserve">- опубликовать Среднесрочный прогноз социально-экономического развития Кыргызской Республики на 2020-2022 годы на официальном веб-сайте Министерства экономики Кыргызской Республики.</w:t>
      </w:r>
    </w:p>
    <w:p>
      <w:pPr>
        <w:spacing w:after="60"/>
        <w:ind w:firstLine="567"/>
        <w:jc w:val="both"/>
      </w:pPr>
      <w:r>
        <w:rPr>
          <w:rFonts w:ascii="Arial" w:cs="Arial" w:eastAsia="Arial" w:hAnsi="Arial"/>
          <w:sz w:val="24"/>
          <w:szCs w:val="24"/>
        </w:rPr>
        <w:t xml:space="preserve">5. Признать утратившим силу </w:t>
      </w:r>
      <w:hyperlink w:history="1" r:id="rId1mopuk4pdlo_zgsefnu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2019-2021 годы" от 23 августа 2018 года № 393.</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21 июня 2019 года № 52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постановлением Правительства Кыргызской Республики
 от 3 июня 2019 года № 270</w:t>
      </w:r>
    </w:p>
    <w:p>
      <w:pPr>
        <w:spacing w:after="400" w:before="400"/>
        <w:jc w:val="center"/>
      </w:pPr>
      <w:r>
        <w:rPr>
          <w:rFonts w:ascii="Arial" w:cs="Arial" w:eastAsia="Arial" w:hAnsi="Arial"/>
          <w:b/>
          <w:bCs/>
          <w:sz w:val="32"/>
          <w:szCs w:val="32"/>
        </w:rPr>
        <w:t xml:space="preserve">СРЕДНЕСРОЧНЫЙ ПРОГНОЗ
 социально-экономического развития Кыргызской Республики на 2020-2022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Главной целью Среднесрочного прогноза социально-экономического развития Кыргызской Республики на 2020-2022 годы (далее - Среднесрочный прогноз) является определение количественных ориентиров и мер социально-экономической политики на среднесрочный период путем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4"/>
          <w:szCs w:val="24"/>
        </w:rPr>
        <w:t xml:space="preserve">В Среднесрочном прогнозе определены основные направления развития ключевых отраслей экономики на 2020 год, включая детализированное описание их прогнозных значений, и перспективы развития экономики страны на 2021-2022 годы, построенные на базе официальных прогнозов отраслевых министерств, государственных комитетов, административных ведомств, регионов.</w:t>
      </w:r>
    </w:p>
    <w:p>
      <w:pPr>
        <w:spacing w:after="60"/>
        <w:ind w:firstLine="567"/>
        <w:jc w:val="both"/>
      </w:pPr>
      <w:r>
        <w:rPr>
          <w:rFonts w:ascii="Arial" w:cs="Arial" w:eastAsia="Arial" w:hAnsi="Arial"/>
          <w:sz w:val="24"/>
          <w:szCs w:val="24"/>
        </w:rPr>
        <w:t xml:space="preserve">Сценарий Среднесрочного прогноза социально-экономического развития Кыргызской Республики на 2020-2022 годы одобрен Координационным советом по макроэкономической и инвестиционной политике при Правительстве Кыргызской Республики (протокол от 26 марта 2019 года № 16-43) и является основой для разработки проекта Основных направлений фискальной политики Кыргызской Республики на 2020-2022 годы.</w:t>
      </w:r>
    </w:p>
    <w:p>
      <w:pPr>
        <w:spacing w:after="200" w:before="200"/>
        <w:jc w:val="center"/>
      </w:pPr>
      <w:r>
        <w:rPr>
          <w:rFonts w:ascii="Arial" w:cs="Arial" w:eastAsia="Arial" w:hAnsi="Arial"/>
          <w:b/>
          <w:bCs/>
          <w:sz w:val="24"/>
          <w:szCs w:val="24"/>
        </w:rPr>
        <w:t xml:space="preserve">2. Основные тенденции социально-экономического развития Кыргызской Республики в 2018 году</w:t>
      </w:r>
    </w:p>
    <w:p>
      <w:pPr>
        <w:spacing w:after="60"/>
        <w:ind w:firstLine="567"/>
        <w:jc w:val="both"/>
      </w:pPr>
      <w:r>
        <w:rPr>
          <w:rFonts w:ascii="Arial" w:cs="Arial" w:eastAsia="Arial" w:hAnsi="Arial"/>
          <w:sz w:val="24"/>
          <w:szCs w:val="24"/>
        </w:rPr>
        <w:t xml:space="preserve">Развитие национальной экономики в течение 2018 года происходило в условиях сохранения неоднозначной ситуации во внешней среде: мир столкнулся с торговыми войнами, обвалами на фондовых, валютных и цифровых рынках, рекордными скачками цен на нефть, которые оказали влияние на показатели развития мировой экономики и были предопределены следующим набором событий:</w:t>
      </w:r>
    </w:p>
    <w:p>
      <w:pPr>
        <w:spacing w:after="60"/>
        <w:ind w:firstLine="567"/>
        <w:jc w:val="both"/>
      </w:pPr>
      <w:r>
        <w:rPr>
          <w:rFonts w:ascii="Arial" w:cs="Arial" w:eastAsia="Arial" w:hAnsi="Arial"/>
          <w:sz w:val="24"/>
          <w:szCs w:val="24"/>
        </w:rPr>
        <w:t xml:space="preserve">- спад мировой торговли (глобальный рост мировой торговли по итогам 2018 года замедлился до уровней ниже 2017 года (в 2017 году составлял 5,3%, а в 2018 году замедлился до 3,8%), потери составили 0,5 трлн. долл. США от торговых войн и ограничений);</w:t>
      </w:r>
    </w:p>
    <w:p>
      <w:pPr>
        <w:spacing w:after="60"/>
        <w:ind w:firstLine="567"/>
        <w:jc w:val="both"/>
      </w:pPr>
      <w:r>
        <w:rPr>
          <w:rFonts w:ascii="Arial" w:cs="Arial" w:eastAsia="Arial" w:hAnsi="Arial"/>
          <w:sz w:val="24"/>
          <w:szCs w:val="24"/>
        </w:rPr>
        <w:t xml:space="preserve">- замедление китайской экономики из-за "торговой войны" США с КНР (более серьезные потери понес рынок акций Китая, Shanghai Composite и CSI 300, два важнейших биржевых индекса главного до недавних пор локомотива мировой экономики, упали за год примерно на 25%);</w:t>
      </w:r>
    </w:p>
    <w:p>
      <w:pPr>
        <w:spacing w:after="60"/>
        <w:ind w:firstLine="567"/>
        <w:jc w:val="both"/>
      </w:pPr>
      <w:r>
        <w:rPr>
          <w:rFonts w:ascii="Arial" w:cs="Arial" w:eastAsia="Arial" w:hAnsi="Arial"/>
          <w:sz w:val="24"/>
          <w:szCs w:val="24"/>
        </w:rPr>
        <w:t xml:space="preserve">- усиление санкций в отношении основного стратегического партнера - Российской Федерации и ответные меры РФ против США;</w:t>
      </w:r>
    </w:p>
    <w:p>
      <w:pPr>
        <w:spacing w:after="60"/>
        <w:ind w:firstLine="567"/>
        <w:jc w:val="both"/>
      </w:pPr>
      <w:r>
        <w:rPr>
          <w:rFonts w:ascii="Arial" w:cs="Arial" w:eastAsia="Arial" w:hAnsi="Arial"/>
          <w:sz w:val="24"/>
          <w:szCs w:val="24"/>
        </w:rPr>
        <w:t xml:space="preserve">- волатильность стоимости энергосырья (по итогам 2018 года нефть марки Brent подешевела примерно на 20%, а по сравнению с годовым пиком в начале октября этот европейский сорт (на который ориентируются и российские экспортеры нефти) потерял в цене уже порядка 40%);</w:t>
      </w:r>
    </w:p>
    <w:p>
      <w:pPr>
        <w:spacing w:after="60"/>
        <w:ind w:firstLine="567"/>
        <w:jc w:val="both"/>
      </w:pPr>
      <w:r>
        <w:rPr>
          <w:rFonts w:ascii="Arial" w:cs="Arial" w:eastAsia="Arial" w:hAnsi="Arial"/>
          <w:sz w:val="24"/>
          <w:szCs w:val="24"/>
        </w:rPr>
        <w:t xml:space="preserve">- ужесточение денежно-кредитной политики Федеральной резервной системы США (далее - ФРС) (справочно: ставка повышена за 2018 год с 1,25-1,5% до 2,25-2,5%), что оказало прямое воздействие на обменный курс основных стратегических партнеров и спровоцировало отток капитала с развивающихся рынков (справочно: чистый отток капитала из России, включая иностранные инвестиции, вырос в 2,7 раза, до 67,5 млрд. долл. США (в 2017 году составлял 31,3 млрд. долл. США)).</w:t>
      </w:r>
    </w:p>
    <w:p>
      <w:pPr>
        <w:spacing w:after="60"/>
        <w:ind w:firstLine="567"/>
        <w:jc w:val="both"/>
      </w:pPr>
      <w:r>
        <w:rPr>
          <w:rFonts w:ascii="Arial" w:cs="Arial" w:eastAsia="Arial" w:hAnsi="Arial"/>
          <w:sz w:val="24"/>
          <w:szCs w:val="24"/>
        </w:rPr>
        <w:t xml:space="preserve">Данные события оказали определенное влияние на результаты развития мировой экономики и государств-членов Евразийского экономического союза (далее - ЕАЭС), где показатели сложились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right"/>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Темпы прироста ВВП мировой экономики
 и государств-членов ЕАЭС, в %</w:t>
      </w: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78"/>
        <w:gridCol w:w="3239"/>
        <w:gridCol w:w="4662"/>
      </w:tblGrid>
      <w:tr>
        <w:tc>
          <w:tcPr>
            <w:tcW w:type="dxa" w:w="22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32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факт</w:t>
            </w:r>
          </w:p>
        </w:tc>
        <w:tc>
          <w:tcPr>
            <w:tcW w:type="dxa" w:w="46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предв. факт</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2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bl>
    <w:p>
      <w:pPr>
        <w:spacing w:after="60" w:before="120"/>
        <w:ind w:firstLine="567"/>
        <w:jc w:val="both"/>
      </w:pPr>
      <w:r>
        <w:rPr>
          <w:rFonts w:ascii="Arial" w:cs="Arial" w:eastAsia="Arial" w:hAnsi="Arial"/>
          <w:sz w:val="24"/>
          <w:szCs w:val="24"/>
        </w:rPr>
        <w:t xml:space="preserve">Рост мировой экономики в 2018 году замедлился и составил 3,6%, не достигнув прогнозируемых значений (3,9%, МВФ), темп прироста валового внутреннего продукта (далее - ВВП) Китая составил 6,6%, что является худшим показателем за последние десятилетия. Рост ВВП еврозоны стал самым низким показателем с 2014 года, который сложился на уровне 1,8% (самый высокий показатель с 2008 года зафиксирован в 2017 году - 2,4%) (табл. 1).</w:t>
      </w:r>
    </w:p>
    <w:p>
      <w:pPr>
        <w:spacing w:after="60"/>
        <w:ind w:firstLine="567"/>
        <w:jc w:val="both"/>
      </w:pPr>
      <w:r>
        <w:rPr>
          <w:rFonts w:ascii="Arial" w:cs="Arial" w:eastAsia="Arial" w:hAnsi="Arial"/>
          <w:sz w:val="24"/>
          <w:szCs w:val="24"/>
        </w:rPr>
        <w:t xml:space="preserve">Темпы экономического роста во всех государствах-членах ЕАЭС оказались выше национальных прогнозов и прогнозов международных экономических организаций. Экономический прирост в России составил 2,3%, Республике Армения (далее - Армения) - 5,2%, Республике Казахстан (далее - Казахстан) - 4,1%, Республике Беларусь (далее - Беларусь) - 3,0% (табл. 1). При этом Россия и Беларусь достигли максимальных темпов экономического роста с 2013 года (в 2013 году темпы прироста России - 1,3%, Беларуси - 1,0%).</w:t>
      </w:r>
    </w:p>
    <w:p>
      <w:pPr>
        <w:spacing w:after="60"/>
        <w:ind w:firstLine="567"/>
        <w:jc w:val="both"/>
      </w:pPr>
      <w:r>
        <w:rPr>
          <w:rFonts w:ascii="Arial" w:cs="Arial" w:eastAsia="Arial" w:hAnsi="Arial"/>
          <w:sz w:val="24"/>
          <w:szCs w:val="24"/>
        </w:rPr>
        <w:t xml:space="preserve">На фоне вышеобозначенных макроэкономических условий в государствах-членах ЕАЭС и основных торговых партнеров, главным результатом для кыргызской экономики в 2018 году стало удержание положительной динамики и достижение прогнозируемого уровня по росту экономики и объему ВВП.</w:t>
      </w:r>
    </w:p>
    <w:p>
      <w:pPr>
        <w:spacing w:after="60"/>
        <w:ind w:firstLine="567"/>
        <w:jc w:val="both"/>
      </w:pPr>
      <w:r>
        <w:rPr>
          <w:rFonts w:ascii="Arial" w:cs="Arial" w:eastAsia="Arial" w:hAnsi="Arial"/>
          <w:sz w:val="24"/>
          <w:szCs w:val="24"/>
        </w:rPr>
        <w:t xml:space="preserve">В течение 2018 года действия Правительства Кыргызской Республики были направлены на своевременную и качественную реализацию Плана мероприятий Правительства Кыргызской Республики на 2018 год по реализации Программы развития Кыргызской Республики на период 2018-2022 годов "Единство. Доверие. Созидание", утвержденного постановлением Правительства Кыргызской Республики от 30 августа 2018 года № 413. Данный План включает меры по укреплению национальной экономики, адаптации экономики к новым правилам ЕАЭС и целый блок мероприятий, направленных на обеспечение социально-экономической стабильности в условиях современных вызовов и негативного влияния внешних и внутренних неблагоприятных факторов.</w:t>
      </w:r>
    </w:p>
    <w:p>
      <w:pPr>
        <w:spacing w:after="60"/>
        <w:ind w:firstLine="567"/>
        <w:jc w:val="both"/>
      </w:pPr>
      <w:r>
        <w:rPr>
          <w:rFonts w:ascii="Arial" w:cs="Arial" w:eastAsia="Arial" w:hAnsi="Arial"/>
          <w:sz w:val="24"/>
          <w:szCs w:val="24"/>
        </w:rPr>
        <w:t xml:space="preserve">По предварительным данным Национального статистического комитета Кыргызской Республики, по итогам 2018 года объем ВВП сложился в сумме 557,1 млрд. сомов, где реальный темп прироста составил 3,5% (в 2017 году составлял 4,7%). Без учета предприятий по разработке месторождения Кумтор, реальный темп роста ВВП составил 103,5%, за 2017 год аналогичный показатель составлял 105,1%, что свидетельствует о позитивных тенденциях роста в секторах экономики (табл. 2).</w:t>
      </w:r>
    </w:p>
    <w:p>
      <w:pPr>
        <w:spacing w:after="60"/>
        <w:ind w:firstLine="567"/>
        <w:jc w:val="both"/>
      </w:pPr>
      <w:r>
        <w:rPr>
          <w:rFonts w:ascii="Arial" w:cs="Arial" w:eastAsia="Arial" w:hAnsi="Arial"/>
          <w:sz w:val="24"/>
          <w:szCs w:val="24"/>
        </w:rPr>
        <w:t xml:space="preserve">Экономический рост обеспечен всеми секторами экономики: в сельском хозяйстве объемы реально возросли на 2,7%, строительстве - на 7,8%, сфере услуг - на 2,1%, промышленности - на 5,5%.</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Темпы прироста ВВП Кыргызской Республики
 и отраслей, формирующих ВВП,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076"/>
        <w:gridCol w:w="1076"/>
        <w:gridCol w:w="1076"/>
        <w:gridCol w:w="1160"/>
        <w:gridCol w:w="1160"/>
        <w:gridCol w:w="1160"/>
        <w:gridCol w:w="1160"/>
      </w:tblGrid>
      <w:tr>
        <w:tc>
          <w:tcPr>
            <w:tcW w:type="dxa" w:w="23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факт</w:t>
            </w:r>
          </w:p>
        </w:tc>
        <w:tc>
          <w:tcPr>
            <w:tcW w:type="dxa" w:w="46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предв. факт</w:t>
            </w:r>
          </w:p>
        </w:tc>
      </w:tr>
      <w:tr>
        <w:tc>
          <w:tcPr>
            <w:vMerge w:val="continue"/>
            <w:tcBorders>
              <w:top w:val="single" w:color="CBBF9E" w:sz="4"/>
              <w:left w:val="single" w:color="CBBF9E" w:sz="4"/>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530475,7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99305,4</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103845,9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66386,8</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64897,1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45557,4</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49149,5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249896,0</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260846,9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0,99</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69330,1</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78373,9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r>
    </w:tbl>
    <w:p>
      <w:pPr>
        <w:spacing w:after="60" w:before="120"/>
        <w:ind w:firstLine="567"/>
        <w:jc w:val="both"/>
      </w:pPr>
      <w:r>
        <w:rPr>
          <w:rFonts w:ascii="Arial" w:cs="Arial" w:eastAsia="Arial" w:hAnsi="Arial"/>
          <w:sz w:val="24"/>
          <w:szCs w:val="24"/>
        </w:rPr>
        <w:t xml:space="preserve">Основными факторами, оказавшими позитивное воздействие на сохранение положительной динамики макроэкономических показателей в отчетном периоде, стали:</w:t>
      </w:r>
    </w:p>
    <w:p>
      <w:pPr>
        <w:spacing w:after="60"/>
        <w:ind w:firstLine="567"/>
        <w:jc w:val="both"/>
      </w:pPr>
      <w:r>
        <w:rPr>
          <w:rFonts w:ascii="Arial" w:cs="Arial" w:eastAsia="Arial" w:hAnsi="Arial"/>
          <w:sz w:val="24"/>
          <w:szCs w:val="24"/>
        </w:rPr>
        <w:t xml:space="preserve">- социально-политическая стабильность в стране и странах - основных торговых партнерах;</w:t>
      </w:r>
    </w:p>
    <w:p>
      <w:pPr>
        <w:spacing w:after="60"/>
        <w:ind w:firstLine="567"/>
        <w:jc w:val="both"/>
      </w:pPr>
      <w:r>
        <w:rPr>
          <w:rFonts w:ascii="Arial" w:cs="Arial" w:eastAsia="Arial" w:hAnsi="Arial"/>
          <w:sz w:val="24"/>
          <w:szCs w:val="24"/>
        </w:rPr>
        <w:t xml:space="preserve">- создание благоприятных условий для ведения бизнеса через сокращение проверок, количества лицензий и других мер государственного регулирования, что стало хорошим сигналом для оздоровления бизнес-среды;</w:t>
      </w:r>
    </w:p>
    <w:p>
      <w:pPr>
        <w:spacing w:after="60"/>
        <w:ind w:firstLine="567"/>
        <w:jc w:val="both"/>
      </w:pPr>
      <w:r>
        <w:rPr>
          <w:rFonts w:ascii="Arial" w:cs="Arial" w:eastAsia="Arial" w:hAnsi="Arial"/>
          <w:sz w:val="24"/>
          <w:szCs w:val="24"/>
        </w:rPr>
        <w:t xml:space="preserve">- продолжение реализации Программы по льготному кредитованию фермеров и пищепереработки (по состоянию на 31 декабря 2018 года, выдано 11336 кредитов фермерским хозяйствам на общую сумму 5637,1 млн. сомов), а также оказание государственной поддержки сельскохозяйственным товаропроизводителям и создание благоприятных условий для них путем обеспечения их необходимыми материально-техническими средствами, предоставление в лизинг сельхозтехники и выделение ГСМ за счет матрезерва, и т.д. (по состоянию на 31 декабря 2018 года, аграриями республики было получено 338 единиц различной сельхозтехники на сумму 643,2 млн. сомов);</w:t>
      </w:r>
    </w:p>
    <w:p>
      <w:pPr>
        <w:spacing w:after="60"/>
        <w:ind w:firstLine="567"/>
        <w:jc w:val="both"/>
      </w:pPr>
      <w:r>
        <w:rPr>
          <w:rFonts w:ascii="Arial" w:cs="Arial" w:eastAsia="Arial" w:hAnsi="Arial"/>
          <w:sz w:val="24"/>
          <w:szCs w:val="24"/>
        </w:rPr>
        <w:t xml:space="preserve">- рост объемов чистого притока денежных переводов физических лиц на 5,5% (за 2018 год объем этих трансфертов составил более 2 млрд. долл. США, повторив практически сумму притока 2017 года);</w:t>
      </w:r>
    </w:p>
    <w:p>
      <w:pPr>
        <w:spacing w:after="60"/>
        <w:ind w:firstLine="567"/>
        <w:jc w:val="both"/>
      </w:pPr>
      <w:r>
        <w:rPr>
          <w:rFonts w:ascii="Arial" w:cs="Arial" w:eastAsia="Arial" w:hAnsi="Arial"/>
          <w:sz w:val="24"/>
          <w:szCs w:val="24"/>
        </w:rPr>
        <w:t xml:space="preserve">- рост реальной заработной платы на 3,8% (без учета малых предприятий) и объемов выданных потребительских кредитов в 2018 году на 28,0%, которые позволили увеличить размер частного потребления на 3,9%;</w:t>
      </w:r>
    </w:p>
    <w:p>
      <w:pPr>
        <w:spacing w:after="60"/>
        <w:ind w:firstLine="567"/>
        <w:jc w:val="both"/>
      </w:pPr>
      <w:r>
        <w:rPr>
          <w:rFonts w:ascii="Arial" w:cs="Arial" w:eastAsia="Arial" w:hAnsi="Arial"/>
          <w:sz w:val="24"/>
          <w:szCs w:val="24"/>
        </w:rPr>
        <w:t xml:space="preserve">- финансовая поддержка экономических проектов со стороны: Российско-Кыргызского Фонда развития, который на 1 января 2019 года одобрил 1653 проекта на общую сумму 303,9 млн. долл. США;</w:t>
      </w:r>
    </w:p>
    <w:p>
      <w:pPr>
        <w:spacing w:after="60"/>
        <w:ind w:firstLine="567"/>
        <w:jc w:val="both"/>
      </w:pPr>
      <w:r>
        <w:rPr>
          <w:rFonts w:ascii="Arial" w:cs="Arial" w:eastAsia="Arial" w:hAnsi="Arial"/>
          <w:sz w:val="24"/>
          <w:szCs w:val="24"/>
        </w:rPr>
        <w:t xml:space="preserve">- ОАО "Гарантийный фонд" утвердил 656 гарантий на 755 млн. сомов, увеличив количество и сумму почти в 3 раза, поддержав кредитование почти на 3 млрд. сомов;</w:t>
      </w:r>
    </w:p>
    <w:p>
      <w:pPr>
        <w:spacing w:after="60"/>
        <w:ind w:firstLine="567"/>
        <w:jc w:val="both"/>
      </w:pPr>
      <w:r>
        <w:rPr>
          <w:rFonts w:ascii="Arial" w:cs="Arial" w:eastAsia="Arial" w:hAnsi="Arial"/>
          <w:sz w:val="24"/>
          <w:szCs w:val="24"/>
        </w:rPr>
        <w:t xml:space="preserve">- на 1 января 2019 года выдано 3799 ипотечных кредитов на сумму более 4,27 млрд. сомов;</w:t>
      </w:r>
    </w:p>
    <w:p>
      <w:pPr>
        <w:spacing w:after="60"/>
        <w:ind w:firstLine="567"/>
        <w:jc w:val="both"/>
      </w:pPr>
      <w:r>
        <w:rPr>
          <w:rFonts w:ascii="Arial" w:cs="Arial" w:eastAsia="Arial" w:hAnsi="Arial"/>
          <w:sz w:val="24"/>
          <w:szCs w:val="24"/>
        </w:rPr>
        <w:t xml:space="preserve">- и др.</w:t>
      </w:r>
    </w:p>
    <w:p>
      <w:pPr>
        <w:spacing w:after="60"/>
        <w:ind w:firstLine="567"/>
        <w:jc w:val="both"/>
      </w:pPr>
      <w:r>
        <w:rPr>
          <w:rFonts w:ascii="Arial" w:cs="Arial" w:eastAsia="Arial" w:hAnsi="Arial"/>
          <w:sz w:val="24"/>
          <w:szCs w:val="24"/>
        </w:rPr>
        <w:t xml:space="preserve">Проводимая в стране сбалансированная денежно-кредитная политика позволила обеспечить относительно стабильную динамику уровня инфляции и обменного курса доллара США к сому. Официальный курс доллара по отношению к сому за январь-декабрь 2018 года повысился всего на 1,5%. В целях сглаживания резких колебаний обменного курса Национальный банк Кыргызской Республики (далее - Национальный банк) проводил интервенции, как по продаже долларов США, так и по их покупке.</w:t>
      </w:r>
    </w:p>
    <w:p>
      <w:pPr>
        <w:spacing w:after="60"/>
        <w:ind w:firstLine="567"/>
        <w:jc w:val="both"/>
      </w:pPr>
      <w:r>
        <w:rPr>
          <w:rFonts w:ascii="Arial" w:cs="Arial" w:eastAsia="Arial" w:hAnsi="Arial"/>
          <w:sz w:val="24"/>
          <w:szCs w:val="24"/>
        </w:rPr>
        <w:t xml:space="preserve">Уровень "долларизации" депозитов банковского сектора понизился с 47,5 до 43,9%, уровень "долларизации" кредитного портфеля банковского сектора понизился с начала года с 38,0% до 37,9%.</w:t>
      </w:r>
    </w:p>
    <w:p>
      <w:pPr>
        <w:spacing w:after="60"/>
        <w:ind w:firstLine="567"/>
        <w:jc w:val="both"/>
      </w:pPr>
      <w:r>
        <w:rPr>
          <w:rFonts w:ascii="Arial" w:cs="Arial" w:eastAsia="Arial" w:hAnsi="Arial"/>
          <w:sz w:val="24"/>
          <w:szCs w:val="24"/>
        </w:rPr>
        <w:t xml:space="preserve">В течение 2018 года наблюдался низкий уровень инфляции, который в январе-декабре 2018 года сложился на уровне 1,5% (к соответствующему периоду 2017 года) и 0,5% (декабрь 2018 года к декабрю 2017 года) (табл. 3).</w:t>
      </w:r>
    </w:p>
    <w:p>
      <w:pPr>
        <w:spacing w:after="60"/>
        <w:ind w:firstLine="567"/>
        <w:jc w:val="both"/>
      </w:pPr>
      <w:r>
        <w:rPr>
          <w:rFonts w:ascii="Arial" w:cs="Arial" w:eastAsia="Arial" w:hAnsi="Arial"/>
          <w:sz w:val="24"/>
          <w:szCs w:val="24"/>
        </w:rPr>
        <w:t xml:space="preserve">Ключевыми направлениями экономической политики являются обеспечение макроэкономической стабильности через сокращение бюджетного дефицита, непревышение предельного значения уровня внешнего долга к ВВП. За 2018 год размер дефицита государственного бюджета не превысил целевого ориентира (не более 3% к ВВП) и составил 1,1% к ВВП. По состоянию на 31 декабря 2018 года, уровень государственного долга к ВВП составил 56,0% (табл. 3).</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Уровень инфляции, государственного долга
 и дефицита бюджета в %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3"/>
        <w:gridCol w:w="1109"/>
        <w:gridCol w:w="1539"/>
        <w:gridCol w:w="2306"/>
      </w:tblGrid>
      <w:tr>
        <w:tc>
          <w:tcPr>
            <w:tcW w:type="dxa" w:w="52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5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23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предв. факт</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соответствующему периоду предыдущего года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дефицита бюджета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государственного долга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r>
    </w:tbl>
    <w:p>
      <w:pPr>
        <w:spacing w:after="60" w:before="120"/>
        <w:ind w:firstLine="567"/>
        <w:jc w:val="both"/>
      </w:pPr>
      <w:r>
        <w:rPr>
          <w:rFonts w:ascii="Arial" w:cs="Arial" w:eastAsia="Arial" w:hAnsi="Arial"/>
          <w:sz w:val="24"/>
          <w:szCs w:val="24"/>
        </w:rPr>
        <w:t xml:space="preserve">Положительная динамика макроэкономических показателей позволила Правительству Кыргызской Республики (далее - Правительство) обеспечить выполнение всех запланированных социальных обязательств.</w:t>
      </w:r>
    </w:p>
    <w:p>
      <w:pPr>
        <w:spacing w:after="60"/>
        <w:ind w:firstLine="567"/>
        <w:jc w:val="both"/>
      </w:pPr>
      <w:r>
        <w:rPr>
          <w:rFonts w:ascii="Arial" w:cs="Arial" w:eastAsia="Arial" w:hAnsi="Arial"/>
          <w:sz w:val="24"/>
          <w:szCs w:val="24"/>
        </w:rPr>
        <w:t xml:space="preserve">В 2018 году среднемесячная номинальная заработная плата одного работника (без учета малых предприятий) составила 16218,0 сомов и по сравнению с 2017 годом увеличилась на 5,4%, а ее реальный размер возрос на 3,8%, что в 3,4 раза покрывает величину прожиточного минимума. Среднегодовая величина прожиточного минимума в 2018 году составила 4792,5 сома. Средний размер пенсии на 1 января 2019 года составил 5604,0 сомов и увеличился по сравнению с аналогичной датой 2018 года на 2,0%.</w:t>
      </w:r>
    </w:p>
    <w:p>
      <w:pPr>
        <w:spacing w:after="200" w:before="200"/>
        <w:jc w:val="center"/>
      </w:pPr>
      <w:r>
        <w:rPr>
          <w:rFonts w:ascii="Arial" w:cs="Arial" w:eastAsia="Arial" w:hAnsi="Arial"/>
          <w:b/>
          <w:bCs/>
          <w:sz w:val="24"/>
          <w:szCs w:val="24"/>
        </w:rPr>
        <w:t xml:space="preserve">3. Перспективы развития мировой экономики и государств-членов ЕАЭС. Динамика основных мировых товарных рынков (золото, нефть)</w:t>
      </w:r>
    </w:p>
    <w:p>
      <w:pPr>
        <w:spacing w:after="60"/>
        <w:ind w:firstLine="567"/>
        <w:jc w:val="both"/>
      </w:pPr>
      <w:r>
        <w:rPr>
          <w:rFonts w:ascii="Arial" w:cs="Arial" w:eastAsia="Arial" w:hAnsi="Arial"/>
          <w:sz w:val="24"/>
          <w:szCs w:val="24"/>
        </w:rPr>
        <w:t xml:space="preserve">Мировая экономика(2). Расширение мер (бюджетных и денежно-кредитных стимулов) по стимулированию китайской экономики, принятое решение по приостановке повышения процентной ставки ФРС до конца 2019 года, снижение напряженности в сфере торговли между США и Китаем, улучшение настроений участников мирового финансового рынка, ослабление некоторых факторов, сдерживающих рост в еврозоне, и постепенная стабилизация экономики в странах с формирующимся рынком и развивающихся странах внесут положительный вклад в развитие мировой экономики.</w:t>
      </w:r>
    </w:p>
    <w:p>
      <w:pPr>
        <w:spacing w:after="60"/>
        <w:ind w:firstLine="567"/>
        <w:jc w:val="both"/>
      </w:pPr>
      <w:r>
        <w:rPr>
          <w:rFonts w:ascii="Arial" w:cs="Arial" w:eastAsia="Arial" w:hAnsi="Arial"/>
          <w:sz w:val="24"/>
          <w:szCs w:val="24"/>
        </w:rPr>
        <w:t xml:space="preserve">Однако, по прогнозам международных институтов, в среднесрочной перспективе присутствуют риски возможного замедления мирового экономического роста, что связано с некоторыми негативными изменениями, затронувшими ведущие экономики мира, низкой экономической активностью, ослаблением динамики восстановления торговли и производства, несогласованностью бизнес-процессов, которые могут привести к глобальному замедлению мировой экономики в среднесрочной перспективе.</w:t>
      </w:r>
    </w:p>
    <w:p>
      <w:pPr>
        <w:spacing w:after="60"/>
        <w:ind w:firstLine="567"/>
        <w:jc w:val="both"/>
      </w:pPr>
      <w:r>
        <w:rPr>
          <w:rFonts w:ascii="Arial" w:cs="Arial" w:eastAsia="Arial" w:hAnsi="Arial"/>
          <w:sz w:val="24"/>
          <w:szCs w:val="24"/>
        </w:rPr>
        <w:t xml:space="preserve">Сохраняется высокий уровень неопределенности торговой политики и геополитических рисков, что может отрицательно сказаться на инвестициях во всем мире. Вероятность рецессии в США и замедление темпов роста китайской экономики могут привести к значительному замедлению темпов роста мировой экономики.</w:t>
      </w:r>
    </w:p>
    <w:p>
      <w:pPr>
        <w:spacing w:after="60"/>
        <w:ind w:firstLine="567"/>
        <w:jc w:val="both"/>
      </w:pPr>
      <w:r>
        <w:rPr>
          <w:rFonts w:ascii="Arial" w:cs="Arial" w:eastAsia="Arial" w:hAnsi="Arial"/>
          <w:sz w:val="24"/>
          <w:szCs w:val="24"/>
        </w:rPr>
        <w:t xml:space="preserve">По оценкам МВФ, рост мирового ВВП на 2019 год пересмотрен в сторону снижения на 0,4 процентных пункта, до 3,3%, на 2020 год - на 0,1 процентный пункта, до 3,6%.</w:t>
      </w:r>
    </w:p>
    <w:p>
      <w:pPr>
        <w:spacing w:after="60"/>
        <w:ind w:firstLine="567"/>
        <w:jc w:val="both"/>
      </w:pPr>
      <w:r>
        <w:rPr>
          <w:rFonts w:ascii="Arial" w:cs="Arial" w:eastAsia="Arial" w:hAnsi="Arial"/>
          <w:sz w:val="24"/>
          <w:szCs w:val="24"/>
        </w:rPr>
        <w:t xml:space="preserve">Еврозона(3). В еврозоне ожидается замедление роста экономики до 1,3% в 2019 году, с последующим восстановлением с середины 2020 года до 1,5%.</w:t>
      </w:r>
    </w:p>
    <w:p>
      <w:pPr>
        <w:spacing w:after="60"/>
        <w:ind w:firstLine="567"/>
        <w:jc w:val="both"/>
      </w:pPr>
      <w:r>
        <w:rPr>
          <w:rFonts w:ascii="Arial" w:cs="Arial" w:eastAsia="Arial" w:hAnsi="Arial"/>
          <w:sz w:val="24"/>
          <w:szCs w:val="24"/>
        </w:rPr>
        <w:t xml:space="preserve">Рост неопределенности в сфере международной торговли (торговые конфликты), что оказывает негативное воздействие на настроение инвесторов, высокая политическая неопределенность, в том числе из-за возможного выхода Великобритании из Евросоюза (Brexit), ухудшение прогнозов экономического роста по многим европейским странам, связанных со снижением показателей частного потребления, слабой динамикой роста промышленного производства, ослабление внутреннего и внешнего спроса, социальная напряженность в отдельных странах могут стать одним из препятствий для достижения прогнозируемого уровня экономического роста.</w:t>
      </w:r>
    </w:p>
    <w:p>
      <w:pPr>
        <w:spacing w:after="60"/>
        <w:ind w:firstLine="567"/>
        <w:jc w:val="both"/>
      </w:pPr>
      <w:r>
        <w:rPr>
          <w:rFonts w:ascii="Arial" w:cs="Arial" w:eastAsia="Arial" w:hAnsi="Arial"/>
          <w:sz w:val="24"/>
          <w:szCs w:val="24"/>
        </w:rPr>
        <w:t xml:space="preserve">Китай(4). После двух лет умеренного роста, в 2019-2020 годах, по оценкам МВФ и Всемирного банка, в Китае ожидается замедление роста экономики до уровня 6,2%, что связано с влиянием ужесточения финансового регулирования и напряженности в торговле с США. Данный показатель может стать самым минимальным значением с 1990 года и может оказать отрицательное влияние на всю мировую экономику.</w:t>
      </w:r>
    </w:p>
    <w:p>
      <w:pPr>
        <w:spacing w:after="60"/>
        <w:ind w:firstLine="567"/>
        <w:jc w:val="both"/>
      </w:pPr>
      <w:r>
        <w:rPr>
          <w:rFonts w:ascii="Arial" w:cs="Arial" w:eastAsia="Arial" w:hAnsi="Arial"/>
          <w:sz w:val="24"/>
          <w:szCs w:val="24"/>
        </w:rPr>
        <w:t xml:space="preserve">Эффект от применения бюджетных и денежно-кредитных стимулов (снижены налоги и сборы для компаний почти на 2 трлн. юаней, повышение квоты на выпуск специальных облигаций для местных органов власти и др.), а также дальнейшее поддержание Правительством Китая частных компаний, принятие мер для увеличения банковского кредитования будет постепенно давать эффект и вести к постепенному восстановлению китайской экономики в среднесрочной перспективе.</w:t>
      </w:r>
    </w:p>
    <w:p>
      <w:pPr>
        <w:spacing w:after="60"/>
        <w:ind w:firstLine="567"/>
        <w:jc w:val="both"/>
      </w:pPr>
      <w:r>
        <w:rPr>
          <w:rFonts w:ascii="Arial" w:cs="Arial" w:eastAsia="Arial" w:hAnsi="Arial"/>
          <w:sz w:val="24"/>
          <w:szCs w:val="24"/>
        </w:rPr>
        <w:t xml:space="preserve">Однако Правительством Китая, на фоне имеющихся рисков, на 2019 год целевой диапазон роста экономики установлен на уровне 6,0-6,5%.</w:t>
      </w:r>
    </w:p>
    <w:p>
      <w:pPr>
        <w:spacing w:after="60"/>
        <w:ind w:firstLine="567"/>
        <w:jc w:val="both"/>
      </w:pPr>
      <w:r>
        <w:rPr>
          <w:rFonts w:ascii="Arial" w:cs="Arial" w:eastAsia="Arial" w:hAnsi="Arial"/>
          <w:sz w:val="24"/>
          <w:szCs w:val="24"/>
        </w:rPr>
        <w:t xml:space="preserve">США(5). Прогноз экономического роста, по данным МВФ, был пересмотрен в сторону снижения. Ожидается постепенное замедление экономики США в 2019-2020 годах (в 2019 году прирост ВВП составит 2,3%, 2020 году - 1,9%), что связано с прекращением бюджетного стимула, а также высоким уровнем процентных ставок по федеральным фондам. Однако данный рост будет выше потенциального значения. Рост внутреннего спроса будет стимулироваться увеличением импорта и оказывать негативное воздействие на дефицит счета текущих операций США.</w:t>
      </w:r>
    </w:p>
    <w:p>
      <w:pPr>
        <w:spacing w:after="60" w:before="200"/>
        <w:ind w:firstLine="567"/>
        <w:jc w:val="left"/>
      </w:pPr>
      <w:r>
        <w:rPr>
          <w:rFonts w:ascii="Arial" w:cs="Arial" w:eastAsia="Arial" w:hAnsi="Arial"/>
          <w:b/>
          <w:bCs/>
          <w:sz w:val="24"/>
          <w:szCs w:val="24"/>
        </w:rPr>
        <w:t xml:space="preserve">Рис. 1. Прогноз МВФ темпов прироста ВВП мировой экономики Китая, в %</w:t>
      </w:r>
    </w:p>
    <w:p>
      <w:pPr>
        <w:spacing w:after="60" w:before="200"/>
        <w:ind w:firstLine="567"/>
        <w:jc w:val="left"/>
      </w:pPr>
      <w:r>
        <w:rPr>
          <w:rFonts w:ascii="Arial" w:cs="Arial" w:eastAsia="Arial" w:hAnsi="Arial"/>
          <w:b/>
          <w:bCs/>
          <w:sz w:val="24"/>
          <w:szCs w:val="24"/>
        </w:rPr>
        <w:t xml:space="preserve">Рис. 2. Прогноз МВФ темпов прироста ВВП еврозоны и США в %</w:t>
      </w:r>
    </w:p>
    <w:p>
      <w:pPr>
        <w:spacing w:after="60"/>
        <w:ind w:firstLine="567"/>
        <w:jc w:val="both"/>
      </w:pPr>
      <w:r>
        <w:rPr>
          <w:rFonts w:ascii="Arial" w:cs="Arial" w:eastAsia="Arial" w:hAnsi="Arial"/>
          <w:sz w:val="24"/>
          <w:szCs w:val="24"/>
        </w:rPr>
        <w:t xml:space="preserve">Государства-члены ЕАЭС: Российская Федерация(6). После рывка, сделанного в 2018 году, где экономический прирост составил 2,3% (впервые с 2013 года), в 2019 году ожидается некоторое замедление прироста ВВП до 1,3%, что связано с внешними рисками: замедлением мирового экономического роста, геополитической обстановкой (санкции против России - сенаторами США в начале апреля 2019 года разработан законопроект ограничительных мер, которые скажутся на банковском, энергетическом и оборонном секторах, государственных облигациях), волатильностью цены на нефть и др. В среднесрочной перспективе прогнозируется постепенное восстановление экономического роста до 3,0%.</w:t>
      </w:r>
    </w:p>
    <w:p>
      <w:pPr>
        <w:spacing w:after="60"/>
        <w:ind w:firstLine="567"/>
        <w:jc w:val="both"/>
      </w:pPr>
      <w:r>
        <w:rPr>
          <w:rFonts w:ascii="Arial" w:cs="Arial" w:eastAsia="Arial" w:hAnsi="Arial"/>
          <w:sz w:val="24"/>
          <w:szCs w:val="24"/>
        </w:rPr>
        <w:t xml:space="preserve">Республика Казахстан(7). Экономический рост в Казахстане в 2019 году ожидается на уровне 3,8% (на 2019 год прогноз снижен на 0,1 процентный пункт), на 2020-2021 годы - в среднем на уровне 4,1%.</w:t>
      </w:r>
    </w:p>
    <w:p>
      <w:pPr>
        <w:spacing w:after="60"/>
        <w:ind w:firstLine="567"/>
        <w:jc w:val="both"/>
      </w:pPr>
      <w:r>
        <w:rPr>
          <w:rFonts w:ascii="Arial" w:cs="Arial" w:eastAsia="Arial" w:hAnsi="Arial"/>
          <w:sz w:val="24"/>
          <w:szCs w:val="24"/>
        </w:rPr>
        <w:t xml:space="preserve">Сохранение геополитической напряженности, внешней неопределенности, увеличение торговых барьеров и пересмотр систем регулирования будут формировать дополнительные вызовы/риски и отразятся на мировых инвестиционных потоках и приведут к ограничению прироста ВВП в Казахстане.</w:t>
      </w:r>
    </w:p>
    <w:p>
      <w:pPr>
        <w:spacing w:after="60"/>
        <w:ind w:firstLine="567"/>
        <w:jc w:val="both"/>
      </w:pPr>
      <w:r>
        <w:rPr>
          <w:rFonts w:ascii="Arial" w:cs="Arial" w:eastAsia="Arial" w:hAnsi="Arial"/>
          <w:sz w:val="24"/>
          <w:szCs w:val="24"/>
        </w:rPr>
        <w:t xml:space="preserve">Волатильность цены на нефть будет вносить отрицательный вклад в развитие казахстанской экономики и являться одним из основных источников снижения ВВП. Ожидается сокращение объемов добычи нефти в Казахстане по причине крупного капитального ремонта на 3 крупнейших месторождениях: Кашаган, Тенгиз и Карачаганак.</w:t>
      </w:r>
    </w:p>
    <w:p>
      <w:pPr>
        <w:spacing w:after="60"/>
        <w:ind w:firstLine="567"/>
        <w:jc w:val="both"/>
      </w:pPr>
      <w:r>
        <w:rPr>
          <w:rFonts w:ascii="Arial" w:cs="Arial" w:eastAsia="Arial" w:hAnsi="Arial"/>
          <w:sz w:val="24"/>
          <w:szCs w:val="24"/>
        </w:rPr>
        <w:t xml:space="preserve">Мировой рынок нефти. Фундаментальными предпосылками для волатильности цен на нефтяном рынке будут: возможное продление действия соглашения ОПЕК+, ограничивающее добычу нефти до конца 2019 года (в начале декабря 2018 года на заседании стран ОПЕК+ и ряд государств, не входящих в организацию, договорились о сокращении уровня добычи нефти на 1,2 млн. баррелей на полгода с января 2019 года с возможным пересмотром в апреле 2019 года), исход решения может как положительно, так и отрицательно сказаться на поведении цен на нефть; геополитические события вокруг основных производителей нефти (Ближний Восток и Северная Америка) по причине возможной активизации санкций против Ирана; постепенное урегулирование "торговой войны" между США и Китаем.</w:t>
      </w:r>
    </w:p>
    <w:p>
      <w:pPr>
        <w:spacing w:after="60"/>
        <w:ind w:firstLine="567"/>
        <w:jc w:val="both"/>
      </w:pPr>
      <w:r>
        <w:rPr>
          <w:rFonts w:ascii="Arial" w:cs="Arial" w:eastAsia="Arial" w:hAnsi="Arial"/>
          <w:sz w:val="24"/>
          <w:szCs w:val="24"/>
        </w:rPr>
        <w:t xml:space="preserve">На поведение цен на нефть будут оказывать влияние и введение американских санкций против венесуэльской нефтяной промышленности (Министерство финансов США объявило о введении санкций против двух венесуэльских компаний, занимающихся поставками нефти на Кубу, и 34 кораблей государственной нефтяной компании PDVSA), которая входит в 10 крупнейших стран по добыче нефти.</w:t>
      </w:r>
    </w:p>
    <w:p>
      <w:pPr>
        <w:spacing w:after="60"/>
        <w:ind w:firstLine="567"/>
        <w:jc w:val="both"/>
      </w:pPr>
      <w:r>
        <w:rPr>
          <w:rFonts w:ascii="Arial" w:cs="Arial" w:eastAsia="Arial" w:hAnsi="Arial"/>
          <w:sz w:val="24"/>
          <w:szCs w:val="24"/>
        </w:rPr>
        <w:t xml:space="preserve">В таких условиях в среднесрочном периоде ожидается, что цены на нефть стабилизируются в коридоре от 65 до 80 долл. США за баррель. Однако, в случае превышения спроса над предложением и наоборот, вероятен выход из этого коридора.</w:t>
      </w:r>
    </w:p>
    <w:p>
      <w:pPr>
        <w:spacing w:after="60"/>
        <w:ind w:firstLine="567"/>
        <w:jc w:val="both"/>
      </w:pPr>
      <w:r>
        <w:rPr>
          <w:rFonts w:ascii="Arial" w:cs="Arial" w:eastAsia="Arial" w:hAnsi="Arial"/>
          <w:sz w:val="24"/>
          <w:szCs w:val="24"/>
        </w:rPr>
        <w:t xml:space="preserve">Мировой рынок золота. В целом, 2019-2020 годы будут благоприятными для рынка золота. Ожидается, что цена на золото будет постепенно расти, однако будет наблюдаться некоторая нестабильность и повышенные риски. Главным фактором поддержки золота могут стать настроения инвесторов из-за волатильности на фондовом рынке. Ценовая конъюнктура рынка драгоценных металлов в среднесрочной перспективе будет предопределяться набором следующих факторов:</w:t>
      </w:r>
    </w:p>
    <w:p>
      <w:pPr>
        <w:spacing w:after="60"/>
        <w:ind w:firstLine="567"/>
        <w:jc w:val="both"/>
      </w:pPr>
      <w:r>
        <w:rPr>
          <w:rFonts w:ascii="Arial" w:cs="Arial" w:eastAsia="Arial" w:hAnsi="Arial"/>
          <w:sz w:val="24"/>
          <w:szCs w:val="24"/>
        </w:rPr>
        <w:t xml:space="preserve">- изменения политики ФРС, которая будет оказывать влияние на стоимость доллара США (ожидается замедление повышения процентных ставок ФРС), что является поддерживающим фактором роста цен на золото;</w:t>
      </w:r>
    </w:p>
    <w:p>
      <w:pPr>
        <w:spacing w:after="60"/>
        <w:ind w:firstLine="567"/>
        <w:jc w:val="both"/>
      </w:pPr>
      <w:r>
        <w:rPr>
          <w:rFonts w:ascii="Arial" w:cs="Arial" w:eastAsia="Arial" w:hAnsi="Arial"/>
          <w:sz w:val="24"/>
          <w:szCs w:val="24"/>
        </w:rPr>
        <w:t xml:space="preserve">- геополитические риски (нестабильность на Ближнем Востоке, "торговые войны", новые санкции в отношении Ирана и т.д. В случае продолжения разрастания геополитической напряженности, колебания цены на нефть могут привести к тому, что у ряда инвесторов появится желание минимизировать риски, в результате чего спрос на защитные инвестиции к золоту возрастет и приведет к росту цены);</w:t>
      </w:r>
    </w:p>
    <w:p>
      <w:pPr>
        <w:spacing w:after="60"/>
        <w:ind w:firstLine="567"/>
        <w:jc w:val="both"/>
      </w:pPr>
      <w:r>
        <w:rPr>
          <w:rFonts w:ascii="Arial" w:cs="Arial" w:eastAsia="Arial" w:hAnsi="Arial"/>
          <w:sz w:val="24"/>
          <w:szCs w:val="24"/>
        </w:rPr>
        <w:t xml:space="preserve">- политическая ситуация в Европе (стала наблюдаться ситуация скупки и сохранения своих сбережений европейцами в виде золота, что связано с ухудшением экономических показателей в европейской экономике): возможный выход Великобритании из Европейского союза, протесты "желтых жилетов" во Франции и анти-европейское правительство в Италии привели к тому, что европейские инвесторы пытаются сохранить свои сбережения путем покупки золота;</w:t>
      </w:r>
    </w:p>
    <w:p>
      <w:pPr>
        <w:spacing w:after="60"/>
        <w:ind w:firstLine="567"/>
        <w:jc w:val="both"/>
      </w:pPr>
      <w:r>
        <w:rPr>
          <w:rFonts w:ascii="Arial" w:cs="Arial" w:eastAsia="Arial" w:hAnsi="Arial"/>
          <w:sz w:val="24"/>
          <w:szCs w:val="24"/>
        </w:rPr>
        <w:t xml:space="preserve">- неопределенность ситуации на фондовых рынках (волатильность на рынке акций, гособлигаций приводит к тому, что инвесторы начинают вкладывать в более предсказуемые активы - золото);</w:t>
      </w:r>
    </w:p>
    <w:p>
      <w:pPr>
        <w:spacing w:after="60"/>
        <w:ind w:firstLine="567"/>
        <w:jc w:val="both"/>
      </w:pPr>
      <w:r>
        <w:rPr>
          <w:rFonts w:ascii="Arial" w:cs="Arial" w:eastAsia="Arial" w:hAnsi="Arial"/>
          <w:sz w:val="24"/>
          <w:szCs w:val="24"/>
        </w:rPr>
        <w:t xml:space="preserve">- и др.</w:t>
      </w:r>
    </w:p>
    <w:p>
      <w:pPr>
        <w:spacing w:after="60" w:before="200"/>
        <w:ind w:firstLine="567"/>
        <w:jc w:val="left"/>
      </w:pPr>
      <w:r>
        <w:rPr>
          <w:rFonts w:ascii="Arial" w:cs="Arial" w:eastAsia="Arial" w:hAnsi="Arial"/>
          <w:b/>
          <w:bCs/>
          <w:sz w:val="24"/>
          <w:szCs w:val="24"/>
        </w:rPr>
        <w:t xml:space="preserve">Рис. 5. Прогноз мировой цены на нефть, в %</w:t>
      </w:r>
    </w:p>
    <w:p>
      <w:pPr>
        <w:spacing w:after="60" w:before="200"/>
        <w:ind w:firstLine="567"/>
        <w:jc w:val="left"/>
      </w:pPr>
      <w:r>
        <w:rPr>
          <w:rFonts w:ascii="Arial" w:cs="Arial" w:eastAsia="Arial" w:hAnsi="Arial"/>
          <w:b/>
          <w:bCs/>
          <w:sz w:val="24"/>
          <w:szCs w:val="24"/>
        </w:rPr>
        <w:t xml:space="preserve">Рис. 6. Прогноз цен за золото, в %</w:t>
      </w:r>
    </w:p>
    <w:p>
      <w:pPr>
        <w:spacing w:after="60"/>
        <w:ind w:firstLine="567"/>
        <w:jc w:val="both"/>
      </w:pPr>
      <w:r>
        <w:rPr>
          <w:rFonts w:ascii="Arial" w:cs="Arial" w:eastAsia="Arial" w:hAnsi="Arial"/>
          <w:sz w:val="24"/>
          <w:szCs w:val="24"/>
        </w:rPr>
        <w:t xml:space="preserve">С учетом вышеуказанных факторов и рисков, а также в условиях неопределенности отдельных событий, которые значительно оказывают влияние на восстановление/повышение цен на сырьевые товары, разработаны количественные значения внешних параметров прогнозов на 2019-2022 годы. На рассматриваемые периоды перспективы развития мировой экономики варьируются в интервале 3,2%-3,8%, а изменение цен на нефть варьируется в интервале от 65,0 до 80,0 долл. США за баррель. На 2019-2022 годы цены на золото прогнозируются в диапазоне 1280-1350 долл. США за тройскую унцию.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Интервальные количественные значения индивидуальных
 внешних параметров прогнозов на 2020-2022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
        <w:gridCol w:w="3206"/>
        <w:gridCol w:w="2276"/>
        <w:gridCol w:w="1048"/>
        <w:gridCol w:w="1048"/>
        <w:gridCol w:w="1048"/>
        <w:gridCol w:w="1048"/>
      </w:tblGrid>
      <w:tr>
        <w:tc>
          <w:tcPr>
            <w:tcW w:type="dxa" w:w="5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2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41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Интервал прогнозной оценки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темпов развития мировой экономики</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пред. году</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нефть марки Brent</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 за баррель</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65,0-70,0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65,0-80,0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65,0-80,0</w:t>
            </w:r>
          </w:p>
        </w:tc>
      </w:tr>
      <w:tr>
        <w:tc>
          <w:tcPr>
            <w:tcW w:type="dxa" w:w="5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золото</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 за тройскую унцию</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1280-1300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1300-1330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1300-1350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1300-1350</w:t>
            </w:r>
          </w:p>
        </w:tc>
      </w:tr>
    </w:tbl>
    <w:p>
      <w:pPr>
        <w:spacing w:after="60" w:before="120"/>
        <w:ind w:firstLine="567"/>
        <w:jc w:val="both"/>
      </w:pPr>
      <w:r>
        <w:rPr>
          <w:rFonts w:ascii="Arial" w:cs="Arial" w:eastAsia="Arial" w:hAnsi="Arial"/>
          <w:sz w:val="24"/>
          <w:szCs w:val="24"/>
        </w:rPr>
        <w:t xml:space="preserve">Таким образом, усиление торговых войн между ведущими экономиками мира служит ограничивающим фактором для роста мировой и региональной торговли, а сохранение геополитической напряженности подкрепляет основания для понижения прогнозов по темпам роста мировой экономики на будущий период.</w:t>
      </w:r>
    </w:p>
    <w:p>
      <w:pPr>
        <w:spacing w:after="200" w:before="200"/>
        <w:jc w:val="center"/>
      </w:pPr>
      <w:r>
        <w:rPr>
          <w:rFonts w:ascii="Arial" w:cs="Arial" w:eastAsia="Arial" w:hAnsi="Arial"/>
          <w:b/>
          <w:bCs/>
          <w:sz w:val="24"/>
          <w:szCs w:val="24"/>
        </w:rPr>
        <w:t xml:space="preserve">4. Условия и факторы/риски социально-экономического развития Кыргызской Республики на 2019-2022 годы</w:t>
      </w:r>
    </w:p>
    <w:p>
      <w:pPr>
        <w:spacing w:after="60"/>
        <w:ind w:firstLine="567"/>
        <w:jc w:val="both"/>
      </w:pPr>
      <w:r>
        <w:rPr>
          <w:rFonts w:ascii="Arial" w:cs="Arial" w:eastAsia="Arial" w:hAnsi="Arial"/>
          <w:sz w:val="24"/>
          <w:szCs w:val="24"/>
        </w:rPr>
        <w:t xml:space="preserve">Экономическое развитие в 2019 году и прогнозируемом горизонте (2020-2022 годы) будет строиться на гипотезе продолжения влияния как внешних, так и внутренних факторов, которые будут оказывать определенное давление на национальную экономику через каналы торговли и денежных переводов.</w:t>
      </w:r>
    </w:p>
    <w:p>
      <w:pPr>
        <w:spacing w:after="60"/>
        <w:ind w:firstLine="567"/>
        <w:jc w:val="both"/>
      </w:pPr>
      <w:r>
        <w:rPr>
          <w:rFonts w:ascii="Arial" w:cs="Arial" w:eastAsia="Arial" w:hAnsi="Arial"/>
          <w:sz w:val="24"/>
          <w:szCs w:val="24"/>
        </w:rPr>
        <w:t xml:space="preserve">Внешние условия:</w:t>
      </w:r>
    </w:p>
    <w:p>
      <w:pPr>
        <w:spacing w:after="60"/>
        <w:ind w:firstLine="567"/>
        <w:jc w:val="both"/>
      </w:pPr>
      <w:r>
        <w:rPr>
          <w:rFonts w:ascii="Arial" w:cs="Arial" w:eastAsia="Arial" w:hAnsi="Arial"/>
          <w:sz w:val="24"/>
          <w:szCs w:val="24"/>
        </w:rPr>
        <w:t xml:space="preserve">В среднесрочной перспективе будет наблюдаться тенденция некоторого замедления мировой экономики. Мировой фон будет оказывать влияние на экономики стран-членов ЕАЭС, темпы прироста которых замедлятся в 2019 году с последующим ростом в среднесрочной перспективе.</w:t>
      </w:r>
    </w:p>
    <w:p>
      <w:pPr>
        <w:spacing w:after="60"/>
        <w:ind w:firstLine="567"/>
        <w:jc w:val="both"/>
      </w:pPr>
      <w:r>
        <w:rPr>
          <w:rFonts w:ascii="Arial" w:cs="Arial" w:eastAsia="Arial" w:hAnsi="Arial"/>
          <w:sz w:val="24"/>
          <w:szCs w:val="24"/>
        </w:rPr>
        <w:t xml:space="preserve">Замедление роста российской экономики в 2019 году с последующим ростом в среднесрочной перспективе повлечет дальнейшее умеренное поступление денежных переводов физических лиц, осуществляемых через системы переводов (рост прогнозируется в среднем в 2019-2022 годах на 3,9% (почти 97% всех переводов поступает из РФ), которое будет способствовать росту частного потребления, что в свою очередь окажет влияние на сферу услуг и строительный сектор в целом.</w:t>
      </w:r>
    </w:p>
    <w:p>
      <w:pPr>
        <w:spacing w:after="60" w:before="200"/>
        <w:ind w:firstLine="567"/>
        <w:jc w:val="left"/>
      </w:pPr>
      <w:r>
        <w:rPr>
          <w:rFonts w:ascii="Arial" w:cs="Arial" w:eastAsia="Arial" w:hAnsi="Arial"/>
          <w:b/>
          <w:bCs/>
          <w:sz w:val="24"/>
          <w:szCs w:val="24"/>
        </w:rPr>
        <w:t xml:space="preserve">Рис. 7. Темпы номинального роста денежных переводов Кыргызской Республики и темпы прироста ВВП Российской Федерации, в %</w:t>
      </w:r>
    </w:p>
    <w:p>
      <w:pPr>
        <w:spacing w:after="60" w:before="200"/>
        <w:ind w:firstLine="567"/>
        <w:jc w:val="left"/>
      </w:pPr>
      <w:r>
        <w:rPr>
          <w:rFonts w:ascii="Arial" w:cs="Arial" w:eastAsia="Arial" w:hAnsi="Arial"/>
          <w:b/>
          <w:bCs/>
          <w:sz w:val="24"/>
          <w:szCs w:val="24"/>
        </w:rPr>
        <w:t xml:space="preserve">Рис. 8. Темпы прироста оптовой торговли, частного потребления и денежных переводов, в %</w:t>
      </w:r>
    </w:p>
    <w:p>
      <w:pPr>
        <w:spacing w:after="60"/>
        <w:ind w:firstLine="567"/>
        <w:jc w:val="both"/>
      </w:pPr>
      <w:r>
        <w:rPr>
          <w:rFonts w:ascii="Arial" w:cs="Arial" w:eastAsia="Arial" w:hAnsi="Arial"/>
          <w:sz w:val="24"/>
          <w:szCs w:val="24"/>
        </w:rPr>
        <w:t xml:space="preserve">Благоприятная ценовая ситуация на мировых продовольственных рынках, укрепление валют стран - основных торговых партнеров к доллару США и их прогнозы по уровню инфляции в рамках целевых ориентиров будут способствовать сохранению умеренного роста цен в стране.</w:t>
      </w:r>
    </w:p>
    <w:p>
      <w:pPr>
        <w:spacing w:after="60" w:before="200"/>
        <w:ind w:firstLine="567"/>
        <w:jc w:val="left"/>
      </w:pPr>
      <w:r>
        <w:rPr>
          <w:rFonts w:ascii="Arial" w:cs="Arial" w:eastAsia="Arial" w:hAnsi="Arial"/>
          <w:b/>
          <w:bCs/>
          <w:sz w:val="24"/>
          <w:szCs w:val="24"/>
        </w:rPr>
        <w:t xml:space="preserve">Рис. 9. Индекс цен на продовольствие Продовольственной и сельскохозяйственной организации ООН (ФАО) (2019-2022 гг.), в %</w:t>
      </w:r>
    </w:p>
    <w:p>
      <w:pPr>
        <w:spacing w:after="60"/>
        <w:ind w:firstLine="567"/>
        <w:jc w:val="both"/>
      </w:pPr>
      <w:r>
        <w:rPr>
          <w:rFonts w:ascii="Arial" w:cs="Arial" w:eastAsia="Arial" w:hAnsi="Arial"/>
          <w:sz w:val="24"/>
          <w:szCs w:val="24"/>
        </w:rPr>
        <w:t xml:space="preserve">В 2019-2022 годах в целом ожидается сохранение тренда во внешнеэкономических показателях, умеренный рост ВВП и укрепление валют стран - основных торговых партнеров к доллару США.</w:t>
      </w:r>
    </w:p>
    <w:p>
      <w:pPr>
        <w:spacing w:after="60"/>
        <w:ind w:firstLine="567"/>
        <w:jc w:val="both"/>
      </w:pPr>
      <w:r>
        <w:rPr>
          <w:rFonts w:ascii="Arial" w:cs="Arial" w:eastAsia="Arial" w:hAnsi="Arial"/>
          <w:sz w:val="24"/>
          <w:szCs w:val="24"/>
        </w:rPr>
        <w:t xml:space="preserve">Внутренние условия:</w:t>
      </w:r>
    </w:p>
    <w:p>
      <w:pPr>
        <w:spacing w:after="60"/>
        <w:ind w:firstLine="567"/>
        <w:jc w:val="both"/>
      </w:pPr>
      <w:r>
        <w:rPr>
          <w:rFonts w:ascii="Arial" w:cs="Arial" w:eastAsia="Arial" w:hAnsi="Arial"/>
          <w:sz w:val="24"/>
          <w:szCs w:val="24"/>
        </w:rPr>
        <w:t xml:space="preserve">- социально-политическая стабильность;</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 ирригации, дорожно-транспортной сфере, закрепленных в Программе развития Кыргызской Республики на период 2018-2022 годов "Единство. Доверие. Созидание", утвержденной постановлением Жогорку Кенеша Кыргызской Республики от 20 апреля 2018 года № 2377-VI (далее - Программа развития Кыргызской Республики), включающей меры по укреплению национальной экономики;</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 ЕАЭС и ВТО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создание доступа к финансовым инструментам (активизация работы Российско-Кыргызского Фонда развития (РКФР), Государственной ипотечной компании (ГИК), Гарантийного фонда (ГФ), проекта "Финансирование сельского хозяйства" (ФСХ) и др.);</w:t>
      </w:r>
    </w:p>
    <w:p>
      <w:pPr>
        <w:spacing w:after="60"/>
        <w:ind w:firstLine="567"/>
        <w:jc w:val="both"/>
      </w:pPr>
      <w:r>
        <w:rPr>
          <w:rFonts w:ascii="Arial" w:cs="Arial" w:eastAsia="Arial" w:hAnsi="Arial"/>
          <w:sz w:val="24"/>
          <w:szCs w:val="24"/>
        </w:rPr>
        <w:t xml:space="preserve">- создание благоприятной бизнес-среды для предпринимательства;</w:t>
      </w:r>
    </w:p>
    <w:p>
      <w:pPr>
        <w:spacing w:after="60"/>
        <w:ind w:firstLine="567"/>
        <w:jc w:val="both"/>
      </w:pPr>
      <w:r>
        <w:rPr>
          <w:rFonts w:ascii="Arial" w:cs="Arial" w:eastAsia="Arial" w:hAnsi="Arial"/>
          <w:sz w:val="24"/>
          <w:szCs w:val="24"/>
        </w:rPr>
        <w:t xml:space="preserve">- принимаемые меры по выводу бизнеса из тени и др.;</w:t>
      </w:r>
    </w:p>
    <w:p>
      <w:pPr>
        <w:spacing w:after="60"/>
        <w:ind w:firstLine="567"/>
        <w:jc w:val="both"/>
      </w:pPr>
      <w:r>
        <w:rPr>
          <w:rFonts w:ascii="Arial" w:cs="Arial" w:eastAsia="Arial" w:hAnsi="Arial"/>
          <w:sz w:val="24"/>
          <w:szCs w:val="24"/>
        </w:rPr>
        <w:t xml:space="preserve">- продолжение восстановления потребительского спроса;</w:t>
      </w:r>
    </w:p>
    <w:p>
      <w:pPr>
        <w:spacing w:after="60"/>
        <w:ind w:firstLine="567"/>
        <w:jc w:val="both"/>
      </w:pPr>
      <w:r>
        <w:rPr>
          <w:rFonts w:ascii="Arial" w:cs="Arial" w:eastAsia="Arial" w:hAnsi="Arial"/>
          <w:sz w:val="24"/>
          <w:szCs w:val="24"/>
        </w:rPr>
        <w:t xml:space="preserve">- усиление работы по импортозамещению, развитие экспортных операций и приоритетных секторов с высоким экспортным потенциалом, в рамках реализации Программы Правительства по развитию экспорта Кыргызской Республики на 2019-2022 годы, утвержденной постановлением Правительства Кыргызской Республики от 20 декабря 2018 года № 596.</w:t>
      </w:r>
    </w:p>
    <w:p>
      <w:pPr>
        <w:spacing w:after="60"/>
        <w:ind w:firstLine="567"/>
        <w:jc w:val="both"/>
      </w:pPr>
      <w:r>
        <w:rPr>
          <w:rFonts w:ascii="Arial" w:cs="Arial" w:eastAsia="Arial" w:hAnsi="Arial"/>
          <w:sz w:val="24"/>
          <w:szCs w:val="24"/>
        </w:rPr>
        <w:t xml:space="preserve">Поддержанию мер по стимулированию реального сектора экономики Кыргызской Республики будет способствовать проводимая Национальным банком стимулирующая денежно-кредитная политика (в феврале 2019 года Национальный банк снизил учетную ставку с 4,75% до 4,5%), ориентированная на расширение кредитования.</w:t>
      </w:r>
    </w:p>
    <w:p>
      <w:pPr>
        <w:spacing w:after="60"/>
        <w:ind w:firstLine="567"/>
        <w:jc w:val="both"/>
      </w:pPr>
      <w:r>
        <w:rPr>
          <w:rFonts w:ascii="Arial" w:cs="Arial" w:eastAsia="Arial" w:hAnsi="Arial"/>
          <w:sz w:val="24"/>
          <w:szCs w:val="24"/>
        </w:rPr>
        <w:t xml:space="preserve">Доступность финансовых ресурсов, отражаемая в растущем объеме кредитования и постепенном снижении процентных ставок, будет положительно сказываться на состоянии потребительского рынка и стимулировать экономическую активность населения. За последние пять лет объемы кредитов в экономику имеют устойчивую тенденцию роста, при этом снижается средневзвешенная процентная ставка по банковским кредитам (за период) в национальной валюте.</w:t>
      </w:r>
    </w:p>
    <w:p>
      <w:pPr>
        <w:spacing w:after="60" w:before="200"/>
        <w:ind w:firstLine="567"/>
        <w:jc w:val="left"/>
      </w:pPr>
      <w:r>
        <w:rPr>
          <w:rFonts w:ascii="Arial" w:cs="Arial" w:eastAsia="Arial" w:hAnsi="Arial"/>
          <w:b/>
          <w:bCs/>
          <w:sz w:val="24"/>
          <w:szCs w:val="24"/>
        </w:rPr>
        <w:t xml:space="preserve">Рис. 10. Учетная ставка НБКР, в %</w:t>
      </w:r>
    </w:p>
    <w:p>
      <w:pPr>
        <w:spacing w:after="60" w:before="200"/>
        <w:ind w:firstLine="567"/>
        <w:jc w:val="left"/>
      </w:pPr>
      <w:r>
        <w:rPr>
          <w:rFonts w:ascii="Arial" w:cs="Arial" w:eastAsia="Arial" w:hAnsi="Arial"/>
          <w:b/>
          <w:bCs/>
          <w:sz w:val="24"/>
          <w:szCs w:val="24"/>
        </w:rPr>
        <w:t xml:space="preserve">Рис. 11. Объемы кредитования и средневзвешенная процентная ставка, в %</w:t>
      </w:r>
    </w:p>
    <w:p>
      <w:pPr>
        <w:spacing w:after="60"/>
        <w:ind w:firstLine="567"/>
        <w:jc w:val="both"/>
      </w:pPr>
      <w:r>
        <w:rPr>
          <w:rFonts w:ascii="Arial" w:cs="Arial" w:eastAsia="Arial" w:hAnsi="Arial"/>
          <w:sz w:val="24"/>
          <w:szCs w:val="24"/>
        </w:rPr>
        <w:t xml:space="preserve">Возможные риски:</w:t>
      </w:r>
    </w:p>
    <w:p>
      <w:pPr>
        <w:spacing w:after="60"/>
        <w:ind w:firstLine="567"/>
        <w:jc w:val="both"/>
      </w:pPr>
      <w:r>
        <w:rPr>
          <w:rFonts w:ascii="Arial" w:cs="Arial" w:eastAsia="Arial" w:hAnsi="Arial"/>
          <w:sz w:val="24"/>
          <w:szCs w:val="24"/>
        </w:rPr>
        <w:t xml:space="preserve">- замедление темпов роста мировой экономики на фоне нарастания напряженности в торговле, неопределенности на финансовых рынках, замедления роста китайской экономики, ослабления экономики еврозоны (воздействие через торговлю, ПИИ, помощь);</w:t>
      </w:r>
    </w:p>
    <w:p>
      <w:pPr>
        <w:spacing w:after="60"/>
        <w:ind w:firstLine="567"/>
        <w:jc w:val="both"/>
      </w:pPr>
      <w:r>
        <w:rPr>
          <w:rFonts w:ascii="Arial" w:cs="Arial" w:eastAsia="Arial" w:hAnsi="Arial"/>
          <w:sz w:val="24"/>
          <w:szCs w:val="24"/>
        </w:rPr>
        <w:t xml:space="preserve">- усиление санкций против основного торгового партнера Российской Федерации и ответные меры России против США могут замедлить экономику России и привести к дальнейшему удешевлению рубля, повышению инфляции, проблемам в финансовом секторе и сокращению внешней торговли, что окажет негативный эффект на национальную экономику (воздействие через сокращение внешнего спроса, каналы денежных переводов, ПИИ, обменного курса);</w:t>
      </w:r>
    </w:p>
    <w:p>
      <w:pPr>
        <w:spacing w:after="60"/>
        <w:ind w:firstLine="567"/>
        <w:jc w:val="both"/>
      </w:pPr>
      <w:r>
        <w:rPr>
          <w:rFonts w:ascii="Arial" w:cs="Arial" w:eastAsia="Arial" w:hAnsi="Arial"/>
          <w:sz w:val="24"/>
          <w:szCs w:val="24"/>
        </w:rPr>
        <w:t xml:space="preserve">- возможное изменение курса денежно-кредитной политики ведущими мировыми экономиками в среднесрочном периоде может привести к ухудшению мировых финансовых условий, оказать влияние на стоимость доллара и отразиться на обменном курсе основных стратегических партнеров;</w:t>
      </w:r>
    </w:p>
    <w:p>
      <w:pPr>
        <w:spacing w:after="60"/>
        <w:ind w:firstLine="567"/>
        <w:jc w:val="both"/>
      </w:pPr>
      <w:r>
        <w:rPr>
          <w:rFonts w:ascii="Arial" w:cs="Arial" w:eastAsia="Arial" w:hAnsi="Arial"/>
          <w:sz w:val="24"/>
          <w:szCs w:val="24"/>
        </w:rPr>
        <w:t xml:space="preserve">- несогласованность бизнес-процессов (усиление протекционизма, ужесточение бизнес-ограничений, несогласованность режимов Великобритании и Евросоюза, валютные войны), что может привести к замедлению мировой торговли, оказать давление на цены сырьевых ресурсов (нефти, золота и др.), и оказать влияние на номинальный рост, доходы бюджета, сокращение прямых иностранных инвестиций;</w:t>
      </w:r>
    </w:p>
    <w:p>
      <w:pPr>
        <w:spacing w:after="60"/>
        <w:ind w:firstLine="567"/>
        <w:jc w:val="both"/>
      </w:pPr>
      <w:r>
        <w:rPr>
          <w:rFonts w:ascii="Arial" w:cs="Arial" w:eastAsia="Arial" w:hAnsi="Arial"/>
          <w:sz w:val="24"/>
          <w:szCs w:val="24"/>
        </w:rPr>
        <w:t xml:space="preserve">- обострение внешнеэкономической риторики в отношении России может привести к росту рисков для инвесторов, соответственно к сокращению ПИИ в страну и оттоку капитала в 2019-2020 годах (справочно: чистый вывоз капитала из России, по прогнозам Центрального банка Российской Федерации, в 2019 году составит 20 млрд. долл. США, в 2020 году - 10 млрд. долл. США);</w:t>
      </w:r>
    </w:p>
    <w:p>
      <w:pPr>
        <w:spacing w:after="60"/>
        <w:ind w:firstLine="567"/>
        <w:jc w:val="both"/>
      </w:pPr>
      <w:r>
        <w:rPr>
          <w:rFonts w:ascii="Arial" w:cs="Arial" w:eastAsia="Arial" w:hAnsi="Arial"/>
          <w:sz w:val="24"/>
          <w:szCs w:val="24"/>
        </w:rPr>
        <w:t xml:space="preserve">- неблагоприятная демографическая ситуация (Беларусь, Россия) и миграция населения (Кыргызская Республика) в долгосрочной перспективе может снизить количество рабочей силы;</w:t>
      </w:r>
    </w:p>
    <w:p>
      <w:pPr>
        <w:spacing w:after="60"/>
        <w:ind w:firstLine="567"/>
        <w:jc w:val="both"/>
      </w:pPr>
      <w:r>
        <w:rPr>
          <w:rFonts w:ascii="Arial" w:cs="Arial" w:eastAsia="Arial" w:hAnsi="Arial"/>
          <w:sz w:val="24"/>
          <w:szCs w:val="24"/>
        </w:rPr>
        <w:t xml:space="preserve">- сохранение низкой степени диверсифицированности экономики, выраженная сырьевая направленность экспорта способствуют консервации текущей модели развития, для преодоления которой необходимы значительные ресурсы и стимулы;</w:t>
      </w:r>
    </w:p>
    <w:p>
      <w:pPr>
        <w:spacing w:after="60"/>
        <w:ind w:firstLine="567"/>
        <w:jc w:val="both"/>
      </w:pPr>
      <w:r>
        <w:rPr>
          <w:rFonts w:ascii="Arial" w:cs="Arial" w:eastAsia="Arial" w:hAnsi="Arial"/>
          <w:sz w:val="24"/>
          <w:szCs w:val="24"/>
        </w:rPr>
        <w:t xml:space="preserve">- снижение цен на сырьевые товары, составляющие основу экспорта (волатильность цены на золото);</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 (теплая и малоснежная зима, возможное ранее/позднее наступление весны, наступление феномена "Эль-Ниньо" (резкое повышение температуры поверхностного слоя воды на востоке Тихого океана), что повлечет за собой аномальную жару, засуху, наводнения по всему миру);</w:t>
      </w:r>
    </w:p>
    <w:p>
      <w:pPr>
        <w:spacing w:after="60"/>
        <w:ind w:firstLine="567"/>
        <w:jc w:val="both"/>
      </w:pPr>
      <w:r>
        <w:rPr>
          <w:rFonts w:ascii="Arial" w:cs="Arial" w:eastAsia="Arial" w:hAnsi="Arial"/>
          <w:sz w:val="24"/>
          <w:szCs w:val="24"/>
        </w:rPr>
        <w:t xml:space="preserve">- высокий уровень неформальной экономики (по данным Национального статистического комитета Кыргызской Республики за 2017 год составил 23,6%);</w:t>
      </w:r>
    </w:p>
    <w:p>
      <w:pPr>
        <w:spacing w:after="60"/>
        <w:ind w:firstLine="567"/>
        <w:jc w:val="both"/>
      </w:pPr>
      <w:r>
        <w:rPr>
          <w:rFonts w:ascii="Arial" w:cs="Arial" w:eastAsia="Arial" w:hAnsi="Arial"/>
          <w:sz w:val="24"/>
          <w:szCs w:val="24"/>
        </w:rPr>
        <w:t xml:space="preserve">- сохранение высокого уровня государственного долга (по итогам 2018 года соотношение государственного долга к ВВП составило 56,0%), который может ограничивать возможности фискального стимулирования, соответственно, бюджетный дефицит будет угрожать дальнейшему росту государственного долга.</w:t>
      </w:r>
    </w:p>
    <w:p>
      <w:pPr>
        <w:spacing w:after="60"/>
        <w:ind w:firstLine="567"/>
        <w:jc w:val="both"/>
      </w:pPr>
      <w:r>
        <w:rPr>
          <w:rFonts w:ascii="Arial" w:cs="Arial" w:eastAsia="Arial" w:hAnsi="Arial"/>
          <w:sz w:val="24"/>
          <w:szCs w:val="24"/>
        </w:rPr>
        <w:t xml:space="preserve">Сохранение условий негативного влияния на экономики государств-членов ЕАЭС и основных торговых партнеров, а также возможных рисков распространения кризисных явлений может оказывать влияние на устойчивое экономическое развитие Кыргызской Республики.</w:t>
      </w:r>
    </w:p>
    <w:p>
      <w:pPr>
        <w:spacing w:after="200" w:before="200"/>
        <w:jc w:val="center"/>
      </w:pPr>
      <w:r>
        <w:rPr>
          <w:rFonts w:ascii="Arial" w:cs="Arial" w:eastAsia="Arial" w:hAnsi="Arial"/>
          <w:b/>
          <w:bCs/>
          <w:sz w:val="24"/>
          <w:szCs w:val="24"/>
        </w:rPr>
        <w:t xml:space="preserve">5. Сценарии социально-экономического развития на среднесрочный период</w:t>
      </w:r>
    </w:p>
    <w:p>
      <w:pPr>
        <w:spacing w:after="60"/>
        <w:ind w:firstLine="567"/>
        <w:jc w:val="both"/>
      </w:pPr>
      <w:r>
        <w:rPr>
          <w:rFonts w:ascii="Arial" w:cs="Arial" w:eastAsia="Arial" w:hAnsi="Arial"/>
          <w:sz w:val="24"/>
          <w:szCs w:val="24"/>
        </w:rPr>
        <w:t xml:space="preserve">В соответствии с Законом Кыргызской Республики "О государственном прогнозировании социально-экономического развития Кыргызской Республики" и Порядком разработки прогноза социально-экономического развития Кыргызской Республики, утвержденным постановлением Правительства Кыргызской Республики от 17 мая 2018 года № 239, были подготовлены возможные макроэкономические сценарии развития Кыргызской Республики на 2019-2022 гг. (базовый, пессимистичный, оптимистичный). Данные сценарии были рассмотрены рабочей и технической группами по финансовому программированию (представители Министерства экономики Кыргызской Республики, Министерства финансов Кыргызской Республики, Национального банка Кыргызской Республики, Социального фонда Кыргызской Республики), и обобщенные результаты были рассмотрены на заседании Координационного совета по макроэкономической и инвестиционной политике при Правительстве Кыргызской Республики (далее - Координационный совет) для выбора и согласования основного макроэкономического сценария, который будет являться основой для формирования Основных направлений фискальной политики Кыргызской Республики на среднесрочный период и проекта республиканского бюджета на очередной бюджетный год и два прогнозируемых периода.</w:t>
      </w:r>
    </w:p>
    <w:p>
      <w:pPr>
        <w:spacing w:after="60"/>
        <w:ind w:firstLine="567"/>
        <w:jc w:val="both"/>
      </w:pPr>
      <w:r>
        <w:rPr>
          <w:rFonts w:ascii="Arial" w:cs="Arial" w:eastAsia="Arial" w:hAnsi="Arial"/>
          <w:sz w:val="24"/>
          <w:szCs w:val="24"/>
        </w:rPr>
        <w:t xml:space="preserve">Базовый сценарий предполагает экономическое развитие в условиях адаптации национальной экономики к сложившейся неоднозначной ситуации на мировом рынке, выработки действенных мер политики по преодолению негативных последствий геоэкономических шоков, положительного влияния стабильного экономического роста в странах - основных торговых партнерах и государствах-членах ЕАЭС, успешной реализации Программы развития Кыргызской Республики.</w:t>
      </w:r>
    </w:p>
    <w:p>
      <w:pPr>
        <w:spacing w:after="60"/>
        <w:ind w:firstLine="567"/>
        <w:jc w:val="both"/>
      </w:pPr>
      <w:r>
        <w:rPr>
          <w:rFonts w:ascii="Arial" w:cs="Arial" w:eastAsia="Arial" w:hAnsi="Arial"/>
          <w:sz w:val="24"/>
          <w:szCs w:val="24"/>
        </w:rPr>
        <w:t xml:space="preserve">При пессимистичном сценарии приняты допущения, при которых на экономическое развитие будут сильно влиять вышеобозначенные риски, а также предположения, что при неизменной политике принимаемые Правительством меры будут реализованы частично, ввиду недостаточного финансирования инвестиционных проектов и мероприятий.</w:t>
      </w:r>
    </w:p>
    <w:p>
      <w:pPr>
        <w:spacing w:after="60"/>
        <w:ind w:firstLine="567"/>
        <w:jc w:val="both"/>
      </w:pPr>
      <w:r>
        <w:rPr>
          <w:rFonts w:ascii="Arial" w:cs="Arial" w:eastAsia="Arial" w:hAnsi="Arial"/>
          <w:sz w:val="24"/>
          <w:szCs w:val="24"/>
        </w:rPr>
        <w:t xml:space="preserve">Учитывая целевые макроэкономические ориентиры, заложенные в Программе развития Кыргызской Республики, где в среднесрочной перспективе необходимо обеспечить динамичное развитие экономики (не менее 4,0%) и стабильный рост доходов населения, в результате обсуждений трех макроэкономических сценариев на заседании Координационного совета, одобрен один макроэкономический сценарий - оптимистичный, для формирования Основных направлений фискальной политики Кыргызской Республики на среднесрочный период и проекта республиканского бюджета на очередной бюджетный год (протокол заседания Координационного совета по макроэкономической и инвестиционной политике при Правительстве Кыргызской Республики от 26 марта 2019 года № 16-43).</w:t>
      </w:r>
    </w:p>
    <w:p>
      <w:pPr>
        <w:spacing w:after="60"/>
        <w:ind w:firstLine="567"/>
        <w:jc w:val="both"/>
      </w:pPr>
      <w:r>
        <w:rPr>
          <w:rFonts w:ascii="Arial" w:cs="Arial" w:eastAsia="Arial" w:hAnsi="Arial"/>
          <w:sz w:val="24"/>
          <w:szCs w:val="24"/>
        </w:rPr>
        <w:t xml:space="preserve">Данный сценарий учитывает благоприятную внешнеэкономическую конъюнктуру и предположения о полной, успешной и своевременной реализации намеченных мероприятий и их эффективном влиянии на экономику страны, а также национальных проектов, заложенных в Программе развития Кыргызской Республики, Национальной стратегии развития Кыргызской Республики на 2018-2040 годы, утвержденной Указом Президента Кыргызской Республики от 31 октября 2018 года № 221. Ежегодные планы должны исполняться таким образом, чтобы можно было реализовать 103 национальных инвестиционных проекта на сумму 15,7 млрд. долл. США.</w:t>
      </w:r>
    </w:p>
    <w:p>
      <w:pPr>
        <w:spacing w:after="60"/>
        <w:ind w:firstLine="567"/>
        <w:jc w:val="both"/>
      </w:pPr>
      <w:r>
        <w:rPr>
          <w:rFonts w:ascii="Arial" w:cs="Arial" w:eastAsia="Arial" w:hAnsi="Arial"/>
          <w:sz w:val="24"/>
          <w:szCs w:val="24"/>
        </w:rPr>
        <w:t xml:space="preserve">Также учтены такие факторы, как благоприятные погодные условия, успешное проведение полевых работ, увеличение притока прямых иностранных инвестиций и денежных средств от мигрантов, эффект от финансирования сельского хозяйства, активная работа Российско-Кыргызского Фонда развития, стабильная работа на месторождении Кумтор, своевременный ввод в эксплуатацию месторождения Джеруй, ввод новых мощностей, а также значительное увеличение объемов текстильного и швейного производства, а также производства строительных материалов, нефтепродуктов, пищепродуктов, электроэнергии и др. Кроме этого, предполагая улучшение глобальных экономических условий, увеличены прогнозные значения отраслей сферы услуг на 0,6 п.п., против базового сценария (2019 год - 102,4%, 2020 год - 102,7%), что существенно окажет вклад в формирование ВВП.</w:t>
      </w:r>
    </w:p>
    <w:p>
      <w:pPr>
        <w:spacing w:after="60"/>
        <w:ind w:firstLine="567"/>
        <w:jc w:val="both"/>
      </w:pPr>
      <w:r>
        <w:rPr>
          <w:rFonts w:ascii="Arial" w:cs="Arial" w:eastAsia="Arial" w:hAnsi="Arial"/>
          <w:sz w:val="24"/>
          <w:szCs w:val="24"/>
        </w:rPr>
        <w:t xml:space="preserve">Реализация данного сценария прогноза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 выявления резервов и обеспечения их выполнения всеми органами государственного управления.</w:t>
      </w:r>
    </w:p>
    <w:p>
      <w:pPr>
        <w:spacing w:after="200" w:before="200"/>
        <w:jc w:val="center"/>
      </w:pPr>
      <w:r>
        <w:rPr>
          <w:rFonts w:ascii="Arial" w:cs="Arial" w:eastAsia="Arial" w:hAnsi="Arial"/>
          <w:b/>
          <w:bCs/>
          <w:sz w:val="24"/>
          <w:szCs w:val="24"/>
        </w:rPr>
        <w:t xml:space="preserve">6. Макроэкономические показатели, ожидаемые в 2019 году</w:t>
      </w:r>
    </w:p>
    <w:p>
      <w:pPr>
        <w:spacing w:after="60"/>
        <w:ind w:firstLine="567"/>
        <w:jc w:val="both"/>
      </w:pPr>
      <w:r>
        <w:rPr>
          <w:rFonts w:ascii="Arial" w:cs="Arial" w:eastAsia="Arial" w:hAnsi="Arial"/>
          <w:sz w:val="24"/>
          <w:szCs w:val="24"/>
        </w:rPr>
        <w:t xml:space="preserve">Основные направления и меры политик на 2019 год будут реализовываться в соответствии с ориентирами, отраженными в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2019 год, утвержденном постановлением Правительства Кыргызской Республики и Национального банка Кыргызской Республики от 15 марта 2019 года № 125-07/3-2), Программе развития Кыргызской Республики.</w:t>
      </w:r>
    </w:p>
    <w:p>
      <w:pPr>
        <w:spacing w:after="60"/>
        <w:ind w:firstLine="567"/>
        <w:jc w:val="both"/>
      </w:pPr>
      <w:r>
        <w:rPr>
          <w:rFonts w:ascii="Arial" w:cs="Arial" w:eastAsia="Arial" w:hAnsi="Arial"/>
          <w:sz w:val="24"/>
          <w:szCs w:val="24"/>
        </w:rPr>
        <w:t xml:space="preserve">Для обеспечения устойчивого экономического роста деятельность Правительства будет направлена на продолжение реализации крупных инвестиционных проектов.</w:t>
      </w:r>
    </w:p>
    <w:p>
      <w:pPr>
        <w:spacing w:after="60"/>
        <w:ind w:firstLine="567"/>
        <w:jc w:val="both"/>
      </w:pPr>
      <w:r>
        <w:rPr>
          <w:rFonts w:ascii="Arial" w:cs="Arial" w:eastAsia="Arial" w:hAnsi="Arial"/>
          <w:sz w:val="24"/>
          <w:szCs w:val="24"/>
        </w:rPr>
        <w:t xml:space="preserve">Развитие регионов, в рамках объявленного года развития регионов будет направлено на улучшение благосостояния населения и экономического состояния регионов, создание конкурентоспособной и инвестиционной бизнес-среды в соответствии с основными направлениями Концепции региональной политики Кыргызской Республики на период 2018-2022 годов, утвержденной постановлением Правительства Кыргызской Республики от 31 марта 2017 года № 194. Будут реализованы программы развития отобранных 20 опорных городов - точек роста, которые станут локомотивом развития регионов, для реализации которых из государственного бюджета будет выделено 2 млрд. сомов, которые будут направлены на развитие инфраструктуры отобранных городов и создание привлекательной бизнес-среды.</w:t>
      </w:r>
    </w:p>
    <w:p>
      <w:pPr>
        <w:spacing w:after="60"/>
        <w:ind w:firstLine="567"/>
        <w:jc w:val="both"/>
      </w:pPr>
      <w:r>
        <w:rPr>
          <w:rFonts w:ascii="Arial" w:cs="Arial" w:eastAsia="Arial" w:hAnsi="Arial"/>
          <w:sz w:val="24"/>
          <w:szCs w:val="24"/>
        </w:rPr>
        <w:t xml:space="preserve">Основными предпосылками для устойчивого роста экономики в 2019 году будут: (1) устойчивая работа предприятий по разработке месторождения Кумтор (пересмотрен производственный план в сторону увеличения до 535-565 тыс. унций, чем ранее запланированный - 475 тыс. унций, и при этом в расчет принят верхний предел объема производства), добыча полезных ископаемых (наращиваются объемы добычи угля и сырой нефти, руды и концентраты сурьмянистые), производство строительных материалов (за счет вновь введенных предприятий по производству цемента) и энергетики, которые составляют более 70% промышленного производства; (2) ожидаемый рост в сельском хозяйстве за счет: увеличения посевных площадей - на 4,5 тыс. га и оптимизации посевных площадей путем систематического увеличения посевов площадей тех культур, которые пользуются наибольшим спросом в государствах-членах ЕАЭС, в особенности овощей, картофеля, сахарной свеклы, табака и хлопка; ожидаемого эффекта от ранее предоставленных льготных кредитов по программам "Доступные кредиты фермерам" и продолжения программы льготного кредитования фермеров в рамках программы "Финансирование сельского хозяйства-7"; (3) продолжение и запуск крупных национальных проектов через привлечение иностранных инвестиций, в том числе прямых; (4) наращивание объемов жилищного строительства за счет средств населения и реализации программы ипотечного кредитования; (5) ускорение процесса поэтапного строительства промышленных объектов; (6) ожидаемое восстановление темпов роста отраслей, оказывающих услуги, за счет стабильного роста внутреннего потребления и поступлений денежных переводов; (7) создание благоприятной бизнес-среды; (8) оптимизация системы государственного управления; и другие.</w:t>
      </w:r>
    </w:p>
    <w:p>
      <w:pPr>
        <w:spacing w:after="60"/>
        <w:ind w:firstLine="567"/>
        <w:jc w:val="both"/>
      </w:pPr>
      <w:r>
        <w:rPr>
          <w:rFonts w:ascii="Arial" w:cs="Arial" w:eastAsia="Arial" w:hAnsi="Arial"/>
          <w:sz w:val="24"/>
          <w:szCs w:val="24"/>
        </w:rPr>
        <w:t xml:space="preserve">Работа по этим направлениям активно будет продвигаться в рамках Плана действий Правительства Кыргызской Республики на 2019 год, утвержденного постановлением Правительства Кыргызской Республики от 29 марта 2019 года № 141. Подавляющая часть мероприятий Плана сфокусирована на снятии барьеров и улучшении среды для бизнеса.</w:t>
      </w:r>
    </w:p>
    <w:p>
      <w:pPr>
        <w:spacing w:after="60"/>
        <w:ind w:firstLine="567"/>
        <w:jc w:val="both"/>
      </w:pPr>
      <w:r>
        <w:rPr>
          <w:rFonts w:ascii="Arial" w:cs="Arial" w:eastAsia="Arial" w:hAnsi="Arial"/>
          <w:sz w:val="24"/>
          <w:szCs w:val="24"/>
        </w:rPr>
        <w:t xml:space="preserve">Главной целью экономической политики Правительства на 2019 год будет сохранение макроэкономической стабильности посредством поддержания положительной динамики экономического роста, повышения конкурентоспособности национальной экономики и обеспечения ценовой стабильности.</w:t>
      </w:r>
    </w:p>
    <w:p>
      <w:pPr>
        <w:spacing w:after="60"/>
        <w:ind w:firstLine="567"/>
        <w:jc w:val="both"/>
      </w:pPr>
      <w:r>
        <w:rPr>
          <w:rFonts w:ascii="Arial" w:cs="Arial" w:eastAsia="Arial" w:hAnsi="Arial"/>
          <w:sz w:val="24"/>
          <w:szCs w:val="24"/>
        </w:rPr>
        <w:t xml:space="preserve">Обеспечение реального темпа прироста ВВП не ниже 4%, посредством поиска дополнительных резервов экономического роста ожидается за счет роста производства сельского хозяйства - на 3,0%, строительного сектора - на 9,0%, сектора услуг - на 2,9%, промышленности - на 5,1%.</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2019 году сложатся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отраслям, формирующим ВВП</w:t>
      </w:r>
    </w:p>
    <w:p>
      <w:pPr>
        <w:spacing w:after="60"/>
        <w:jc w:val="center"/>
      </w:pPr>
      <w:r>
        <w:rPr>
          <w:rFonts w:ascii="Arial" w:cs="Arial" w:eastAsia="Arial" w:hAnsi="Arial"/>
          <w:sz w:val="24"/>
          <w:szCs w:val="24"/>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076"/>
        <w:gridCol w:w="1076"/>
        <w:gridCol w:w="1076"/>
        <w:gridCol w:w="1160"/>
        <w:gridCol w:w="1160"/>
        <w:gridCol w:w="1160"/>
        <w:gridCol w:w="1160"/>
      </w:tblGrid>
      <w:tr>
        <w:tc>
          <w:tcPr>
            <w:tcW w:type="dxa" w:w="23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предв. факт</w:t>
            </w:r>
          </w:p>
        </w:tc>
        <w:tc>
          <w:tcPr>
            <w:tcW w:type="dxa" w:w="46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r>
      <w:tr>
        <w:tc>
          <w:tcPr>
            <w:vMerge w:val="continue"/>
            <w:tcBorders>
              <w:top w:val="single" w:color="CBBF9E" w:sz="4"/>
              <w:left w:val="single" w:color="CBBF9E" w:sz="4"/>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595900,3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103845,9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112250,6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64897,1</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67558,4</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49149,5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54459,3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260846,9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277801,6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78373,9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83830,4</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bl>
    <w:p>
      <w:pPr>
        <w:spacing w:after="60" w:before="120"/>
        <w:ind w:firstLine="567"/>
        <w:jc w:val="both"/>
      </w:pPr>
      <w:r>
        <w:rPr>
          <w:rFonts w:ascii="Arial" w:cs="Arial" w:eastAsia="Arial" w:hAnsi="Arial"/>
          <w:sz w:val="24"/>
          <w:szCs w:val="24"/>
        </w:rPr>
        <w:t xml:space="preserve">Ожидаемый экономический прирост на уровне 4,0% будет обеспечиваться положительным вкладом в ВВП всех отраслей экономики, в том числе вклад сельского хозяйства ожидается на уровне 0,3 процентных пункта, строительной отрасли - 0,8 процентных пункта, отраслей, оказывающих услуги - 1,3 процентных пункта, промышленности - 1,0 процентного пункта.</w:t>
      </w:r>
    </w:p>
    <w:p>
      <w:pPr>
        <w:spacing w:after="60"/>
        <w:ind w:firstLine="567"/>
        <w:jc w:val="both"/>
      </w:pPr>
      <w:r>
        <w:rPr>
          <w:rFonts w:ascii="Arial" w:cs="Arial" w:eastAsia="Arial" w:hAnsi="Arial"/>
          <w:sz w:val="24"/>
          <w:szCs w:val="24"/>
        </w:rPr>
        <w:t xml:space="preserve">В результате произведенных пересчетов, в 2019 году номинальный объем ВВП ожидается в сумме 595,9 млрд. сомов, против аналогичного показателя 604,7 млрд. сомов, утвержденного постановлением Правительства Кыргызской Республики от 23 августа 2018 года № 393. Снижение номинального объема ВВП в 2019 году по сравнению с утвержденным показателем объясняется сложившимся низким уровнем дефлятора ВВП в 2018 году (101,5%) и предполагаемым сохранением данной динамики в течение 2019-2020 гг.</w:t>
      </w:r>
    </w:p>
    <w:p>
      <w:pPr>
        <w:spacing w:after="60"/>
        <w:ind w:firstLine="567"/>
        <w:jc w:val="both"/>
      </w:pPr>
      <w:r>
        <w:rPr>
          <w:rFonts w:ascii="Arial" w:cs="Arial" w:eastAsia="Arial" w:hAnsi="Arial"/>
          <w:sz w:val="24"/>
          <w:szCs w:val="24"/>
        </w:rPr>
        <w:t xml:space="preserve">Причины низкого уровня дефлятора связаны с тем, что:</w:t>
      </w:r>
    </w:p>
    <w:p>
      <w:pPr>
        <w:spacing w:after="60"/>
        <w:ind w:firstLine="567"/>
        <w:jc w:val="both"/>
      </w:pPr>
      <w:r>
        <w:rPr>
          <w:rFonts w:ascii="Arial" w:cs="Arial" w:eastAsia="Arial" w:hAnsi="Arial"/>
          <w:sz w:val="24"/>
          <w:szCs w:val="24"/>
        </w:rPr>
        <w:t xml:space="preserve">- индексы цен в сфере услуг находятся в пределах ожидаемого среднегодового уровня инфляции;</w:t>
      </w:r>
    </w:p>
    <w:p>
      <w:pPr>
        <w:spacing w:after="60"/>
        <w:ind w:firstLine="567"/>
        <w:jc w:val="both"/>
      </w:pPr>
      <w:r>
        <w:rPr>
          <w:rFonts w:ascii="Arial" w:cs="Arial" w:eastAsia="Arial" w:hAnsi="Arial"/>
          <w:sz w:val="24"/>
          <w:szCs w:val="24"/>
        </w:rPr>
        <w:t xml:space="preserve">- индексы цен, производящих товары, находятся ниже складываемого среднегодового уровня инфляции в отрицательной зоне (в 2018 году - 98,1%, а за 4 месяца 2019 года - 98,4%);</w:t>
      </w:r>
    </w:p>
    <w:p>
      <w:pPr>
        <w:spacing w:after="60"/>
        <w:ind w:firstLine="567"/>
        <w:jc w:val="both"/>
      </w:pPr>
      <w:r>
        <w:rPr>
          <w:rFonts w:ascii="Arial" w:cs="Arial" w:eastAsia="Arial" w:hAnsi="Arial"/>
          <w:sz w:val="24"/>
          <w:szCs w:val="24"/>
        </w:rPr>
        <w:t xml:space="preserve">- либеральный торговый режим республики привел к насыщению рынка и снижению цен на продовольственные и непродовольственные товары и оказывает негативное влияние на формирование цен на продукцию;</w:t>
      </w:r>
    </w:p>
    <w:p>
      <w:pPr>
        <w:spacing w:after="60"/>
        <w:ind w:firstLine="567"/>
        <w:jc w:val="both"/>
      </w:pPr>
      <w:r>
        <w:rPr>
          <w:rFonts w:ascii="Arial" w:cs="Arial" w:eastAsia="Arial" w:hAnsi="Arial"/>
          <w:sz w:val="24"/>
          <w:szCs w:val="24"/>
        </w:rPr>
        <w:t xml:space="preserve">- отсутствие повышательного влияния на внутренние цены со стороны мировых продовольственных рынков.</w:t>
      </w:r>
    </w:p>
    <w:p>
      <w:pPr>
        <w:spacing w:after="60"/>
        <w:ind w:firstLine="567"/>
        <w:jc w:val="both"/>
      </w:pPr>
      <w:r>
        <w:rPr>
          <w:rFonts w:ascii="Arial" w:cs="Arial" w:eastAsia="Arial" w:hAnsi="Arial"/>
          <w:sz w:val="24"/>
          <w:szCs w:val="24"/>
        </w:rPr>
        <w:t xml:space="preserve">При этом следует отметить, что, учитывая динамику предыдущих лет по уточнению номинального размера ВВП, где ежегодно в среднем добавляется ~ 6-8 млрд. сомов к ранее предварительно рассчитанным Национальным статистическим комитетом Кыргызской Республики данным, это предполагает выход практически на утвержденные показатели.</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2019 году будет обеспечиваться за счет функционирования экономик гор. Бишкек, Чуйской, Иссык-Кульской и Джалал-Абадской областей, с удельным весом 78,4%, суммарный вклад которых в рост ВВП республики составит 3,26 процентных пункта. Значительные доли в общем объеме производства ВВП Джалал-Абадской (11,5%) и Иссык-Кульской (11,6%)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21,6% - Ошская, Баткенская, Нарынская, Таласская и город Ош.</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6</w:t>
      </w:r>
    </w:p>
    <w:p>
      <w:pPr>
        <w:spacing w:after="60"/>
        <w:ind w:firstLine="567"/>
        <w:jc w:val="right"/>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Вклады регионов в производство ВВП</w:t>
      </w:r>
      <w:r>
        <w:rPr>
          <w:rFonts w:ascii="Arial" w:cs="Arial" w:eastAsia="Arial" w:hAnsi="Arial"/>
          <w:sz w:val="24"/>
          <w:szCs w:val="24"/>
        </w:rPr>
        <w:t xml:space="preserve">(8)</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3"/>
        <w:gridCol w:w="1316"/>
        <w:gridCol w:w="1316"/>
        <w:gridCol w:w="1336"/>
        <w:gridCol w:w="1336"/>
        <w:gridCol w:w="1336"/>
        <w:gridCol w:w="1336"/>
      </w:tblGrid>
      <w:tr>
        <w:tc>
          <w:tcPr>
            <w:tcW w:type="dxa" w:w="22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оценка</w:t>
            </w:r>
          </w:p>
        </w:tc>
        <w:tc>
          <w:tcPr>
            <w:tcW w:type="dxa" w:w="53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r>
      <w:tr>
        <w:tc>
          <w:tcPr>
            <w:vMerge w:val="continue"/>
            <w:tcBorders>
              <w:top w:val="single" w:color="CBBF9E" w:sz="4"/>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(республика)</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595900,3</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18979,1</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19351,8</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64415,4</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68709,8</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63914,6</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69061,7</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13538,3</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14680,8</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39438,6</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42882,2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16098,0</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17004,2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94902,2</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101373,0</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212750,4</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227679,5</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33076,7</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35157,0</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r>
    </w:tbl>
    <w:p>
      <w:pPr>
        <w:spacing w:after="60" w:before="120"/>
        <w:ind w:firstLine="567"/>
        <w:jc w:val="both"/>
      </w:pPr>
      <w:r>
        <w:rPr>
          <w:rFonts w:ascii="Arial" w:cs="Arial" w:eastAsia="Arial" w:hAnsi="Arial"/>
          <w:sz w:val="24"/>
          <w:szCs w:val="24"/>
        </w:rPr>
        <w:t xml:space="preserve">Умеренный рост цен на мировых продовольственных и сырьевых рынках и инфляции в странах - основных торговых партнерах создают предпосылки для невысокого инфляционного фона в 2019 году, поэтому среднегодовой уровень инфляции ожидается на уровне 102,0%.</w:t>
      </w:r>
    </w:p>
    <w:p>
      <w:pPr>
        <w:spacing w:after="60"/>
        <w:ind w:firstLine="567"/>
        <w:jc w:val="both"/>
      </w:pPr>
      <w:r>
        <w:rPr>
          <w:rFonts w:ascii="Arial" w:cs="Arial" w:eastAsia="Arial" w:hAnsi="Arial"/>
          <w:sz w:val="24"/>
          <w:szCs w:val="24"/>
        </w:rPr>
        <w:t xml:space="preserve">Исходя из вышеуказанных ожидаемых макроэкономических параметров экономики, основные социальные показатели, характеризующие уровень жизни населения,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ожидается в размере 96,3 тыс. сомов и увеличится на 4,9%;</w:t>
      </w:r>
    </w:p>
    <w:p>
      <w:pPr>
        <w:spacing w:after="60"/>
        <w:ind w:firstLine="567"/>
        <w:jc w:val="both"/>
      </w:pPr>
      <w:r>
        <w:rPr>
          <w:rFonts w:ascii="Arial" w:cs="Arial" w:eastAsia="Arial" w:hAnsi="Arial"/>
          <w:sz w:val="24"/>
          <w:szCs w:val="24"/>
        </w:rPr>
        <w:t xml:space="preserve">- ожидается номинальный рост денежных доходов на 4,3%, а с учетом ожидаемого роста потребительских цен - на 2,3%;</w:t>
      </w:r>
    </w:p>
    <w:p>
      <w:pPr>
        <w:spacing w:after="60"/>
        <w:ind w:firstLine="567"/>
        <w:jc w:val="both"/>
      </w:pPr>
      <w:r>
        <w:rPr>
          <w:rFonts w:ascii="Arial" w:cs="Arial" w:eastAsia="Arial" w:hAnsi="Arial"/>
          <w:sz w:val="24"/>
          <w:szCs w:val="24"/>
        </w:rPr>
        <w:t xml:space="preserve">- в структуре денежных доходов ожидается рост среднемесячной заработной платы, которая номинально вырастет на 4,1%, а ее реальный размер с учетом роста потребительских цен - на 2,1%;</w:t>
      </w:r>
    </w:p>
    <w:p>
      <w:pPr>
        <w:spacing w:after="60"/>
        <w:ind w:firstLine="567"/>
        <w:jc w:val="both"/>
      </w:pPr>
      <w:r>
        <w:rPr>
          <w:rFonts w:ascii="Arial" w:cs="Arial" w:eastAsia="Arial" w:hAnsi="Arial"/>
          <w:sz w:val="24"/>
          <w:szCs w:val="24"/>
        </w:rPr>
        <w:t xml:space="preserve">- размер прожиточного минимума ожидается на уровне 4888,4 сома. Коэффициент отношения среднемесячной заработной платы к прожиточному минимуму на взрослое население трудоспособного возраста сложится на уровне 3,1;</w:t>
      </w:r>
    </w:p>
    <w:p>
      <w:pPr>
        <w:spacing w:after="60"/>
        <w:ind w:firstLine="567"/>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развития предпринимательской деятельности, занятости населения, направленных на снижение безработицы и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Данные меры будут способствовать снижению уровня безработицы до 6,4% в 2019 году, снизившись на 0,5 процентных пункта по сравнению с 2017 годом.</w:t>
      </w:r>
    </w:p>
    <w:p>
      <w:pPr>
        <w:spacing w:after="200" w:before="200"/>
        <w:jc w:val="center"/>
      </w:pPr>
      <w:r>
        <w:rPr>
          <w:rFonts w:ascii="Arial" w:cs="Arial" w:eastAsia="Arial" w:hAnsi="Arial"/>
          <w:b/>
          <w:bCs/>
          <w:sz w:val="24"/>
          <w:szCs w:val="24"/>
        </w:rPr>
        <w:t xml:space="preserve">7. Макроэкономический прогноз на 2020 год</w:t>
      </w:r>
    </w:p>
    <w:p>
      <w:pPr>
        <w:spacing w:after="60" w:before="200"/>
        <w:ind w:firstLine="567"/>
        <w:jc w:val="left"/>
      </w:pPr>
      <w:r>
        <w:rPr>
          <w:rFonts w:ascii="Arial" w:cs="Arial" w:eastAsia="Arial" w:hAnsi="Arial"/>
          <w:b/>
          <w:bCs/>
          <w:sz w:val="24"/>
          <w:szCs w:val="24"/>
        </w:rPr>
        <w:t xml:space="preserve">7.1. Макроэкономическая политика</w:t>
      </w:r>
    </w:p>
    <w:p>
      <w:pPr>
        <w:spacing w:after="60"/>
        <w:ind w:firstLine="567"/>
        <w:jc w:val="both"/>
      </w:pPr>
      <w:r>
        <w:rPr>
          <w:rFonts w:ascii="Arial" w:cs="Arial" w:eastAsia="Arial" w:hAnsi="Arial"/>
          <w:sz w:val="24"/>
          <w:szCs w:val="24"/>
        </w:rPr>
        <w:t xml:space="preserve">Главной целью макроэкономической политики на 2020 год является закрепление положительной динамики экономического роста и создание базиса для устойчивого экономического развития страны. Достижение этих целей предусматривает реализацию мер по следующим направлениям: 1) создание благоприятных макроэкономических условий; 2) улучшение делового климата и стимулирование инвестиционной активности; 3) создание условий для повышения производительности в реальном секторе экономики; 4) укрепление внешнеторговых связей и развитие внутреннего рынка.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Приоритетной задачей Правительства будет оставаться успешная и своевременная реализация Программы развития Кыргызской Республики, Национальной стратегии развития Кыргызской Республики на 2018-2040 годы, утвержденной Указом Президента Кыргызской Республики от 31 октября 2018 года № 221, направленной на укрепление экономики, усиление потенциала и развитие производства, а также улучшение качества и благосостояние народа.</w:t>
      </w:r>
    </w:p>
    <w:p>
      <w:pPr>
        <w:spacing w:after="60"/>
        <w:ind w:firstLine="567"/>
        <w:jc w:val="both"/>
      </w:pPr>
      <w:r>
        <w:rPr>
          <w:rFonts w:ascii="Arial" w:cs="Arial" w:eastAsia="Arial" w:hAnsi="Arial"/>
          <w:sz w:val="24"/>
          <w:szCs w:val="24"/>
        </w:rPr>
        <w:t xml:space="preserve">Обеспечение макроэкономической стабильности является базовой предпосылкой создания условий для устойчивого развития экономики. Экономическая политика будет направлена на стимулирование развития отраслей, имеющих высокий экспортный потенциал, создающих рабочие места и повышающих благосостояние народа. Будут привлекаться иностранные инвестиции, при этом будет выстроен разумный баланс между привлечением внешних заимствований и использованием собственных ресурсов для развития. Политика заимствований будет построена так, чтобы не допустить чрезмерной зависимости ни от одной страны мира.</w:t>
      </w:r>
    </w:p>
    <w:p>
      <w:pPr>
        <w:spacing w:after="60"/>
        <w:ind w:firstLine="567"/>
        <w:jc w:val="both"/>
      </w:pPr>
      <w:r>
        <w:rPr>
          <w:rFonts w:ascii="Arial" w:cs="Arial" w:eastAsia="Arial" w:hAnsi="Arial"/>
          <w:sz w:val="24"/>
          <w:szCs w:val="24"/>
        </w:rPr>
        <w:t xml:space="preserve">Будут обеспечены гарантии инвесторам, малому и среднему бизнесу будут разработаны механизмы для доступа к финансовым ресурсам на долгосрочный период, расширены возможности гарантийного фонда.</w:t>
      </w:r>
    </w:p>
    <w:p>
      <w:pPr>
        <w:spacing w:after="60"/>
        <w:ind w:firstLine="567"/>
        <w:jc w:val="both"/>
      </w:pPr>
      <w:r>
        <w:rPr>
          <w:rFonts w:ascii="Arial" w:cs="Arial" w:eastAsia="Arial" w:hAnsi="Arial"/>
          <w:sz w:val="24"/>
          <w:szCs w:val="24"/>
        </w:rPr>
        <w:t xml:space="preserve">Будет разработан комплекс мер по трансформации и легализации теневого сектора экономики. Меры, направленные на снижение уровня теневой экономики страны, позволят увеличить доходную часть государственного бюджета, развивать конкурентную и предпринимательскую среду, уменьшить долю кредитных средств в экономике страны, а также повысить инвестиционную привлекательность Кыргызской Республики.</w:t>
      </w:r>
    </w:p>
    <w:p>
      <w:pPr>
        <w:spacing w:after="60"/>
        <w:ind w:firstLine="567"/>
        <w:jc w:val="both"/>
      </w:pPr>
      <w:r>
        <w:rPr>
          <w:rFonts w:ascii="Arial" w:cs="Arial" w:eastAsia="Arial" w:hAnsi="Arial"/>
          <w:sz w:val="24"/>
          <w:szCs w:val="24"/>
        </w:rPr>
        <w:t xml:space="preserve">Экономическое развитие в 2020 году и прогнозируемом горизонте (2021-2022 годы) будет строиться на гипотезе продолжения влияния как внешних, так и внутренних факторов на развитие национальной экономики. Ожидается сохранение тренда во внешнеэкономических показателях в связи со стабилизацией экономик в регионе, умеренного роста ВВП. Открытость экономики Кыргызской Республики и зависимость ее от транзитной торговли и внешней помощи позволяет рискам/шокам, при которых происходит развитие основных стратегических партнеров, оказывать непосредственное влияние на национальную экономику страны.</w:t>
      </w:r>
    </w:p>
    <w:p>
      <w:pPr>
        <w:spacing w:after="60" w:before="200"/>
        <w:ind w:firstLine="567"/>
        <w:jc w:val="left"/>
      </w:pPr>
      <w:r>
        <w:rPr>
          <w:rFonts w:ascii="Arial" w:cs="Arial" w:eastAsia="Arial" w:hAnsi="Arial"/>
          <w:b/>
          <w:bCs/>
          <w:sz w:val="24"/>
          <w:szCs w:val="24"/>
        </w:rPr>
        <w:t xml:space="preserve">7.2. Денежно-кредитная политика</w:t>
      </w:r>
    </w:p>
    <w:p>
      <w:pPr>
        <w:spacing w:after="60"/>
        <w:ind w:firstLine="567"/>
        <w:jc w:val="both"/>
      </w:pPr>
      <w:r>
        <w:rPr>
          <w:rFonts w:ascii="Arial" w:cs="Arial" w:eastAsia="Arial" w:hAnsi="Arial"/>
          <w:sz w:val="24"/>
          <w:szCs w:val="24"/>
        </w:rPr>
        <w:t xml:space="preserve">Национальный банк будет проводить денежно-кредитную политику в рамках Основных направлений денежно-кредитной политики на среднесрочный период, утвержденных постановлением Правления Национального банка Кыргызской Республики от 13 декабря 2017 года № 2017-П-07/51-1-(ДКП). Достижение и поддержание стабильности цен в среднесрочном периоде посредством проведения соответствующей денежно-кредитной политики остается основной целью деятельности Национального банка.</w:t>
      </w:r>
    </w:p>
    <w:p>
      <w:pPr>
        <w:spacing w:after="60"/>
        <w:ind w:firstLine="567"/>
        <w:jc w:val="both"/>
      </w:pPr>
      <w:r>
        <w:rPr>
          <w:rFonts w:ascii="Arial" w:cs="Arial" w:eastAsia="Arial" w:hAnsi="Arial"/>
          <w:sz w:val="24"/>
          <w:szCs w:val="24"/>
        </w:rPr>
        <w:t xml:space="preserve">Политика Национального банка будет нацелена на обеспечение ценовой стабильности в стране в пределах 5,0-7,0% в среднесрочном периоде.</w:t>
      </w:r>
    </w:p>
    <w:p>
      <w:pPr>
        <w:spacing w:after="60"/>
        <w:ind w:firstLine="567"/>
        <w:jc w:val="both"/>
      </w:pPr>
      <w:r>
        <w:rPr>
          <w:rFonts w:ascii="Arial" w:cs="Arial" w:eastAsia="Arial" w:hAnsi="Arial"/>
          <w:sz w:val="24"/>
          <w:szCs w:val="24"/>
        </w:rPr>
        <w:t xml:space="preserve">Важным условием эффективного влияния денежно-кредитной политики на экономику является плавающий валютный курс. В этой связи Национальный банк, как и прежде, продолжит следовать принятому Кыргызской Республикой режиму плавающего обменного курса. Формирование обменного курса будет основываться на рыночном механизме. Действия Национального банка на внутреннем валютном рынке будут направлены на сглаживание резких колебаний обменного курса. В случае усиления внешних рисков, которые будут оказывать влияние на внутренний валютный рынок, будут предприняты необходимые меры для смягчения возможных негативных последствий.</w:t>
      </w:r>
    </w:p>
    <w:p>
      <w:pPr>
        <w:spacing w:after="60"/>
        <w:ind w:firstLine="567"/>
        <w:jc w:val="both"/>
      </w:pPr>
      <w:r>
        <w:rPr>
          <w:rFonts w:ascii="Arial" w:cs="Arial" w:eastAsia="Arial" w:hAnsi="Arial"/>
          <w:sz w:val="24"/>
          <w:szCs w:val="24"/>
        </w:rPr>
        <w:t xml:space="preserve">Национальный банк в рамках проводимых работ по постепенному переходу на инфляционное таргетирование в среднесрочной перспективе сосредоточит свои усилия на совершенствовании процентного канала трансмиссионного механизма и повышении степени его влияния на инфляцию.</w:t>
      </w:r>
    </w:p>
    <w:p>
      <w:pPr>
        <w:spacing w:after="60"/>
        <w:ind w:firstLine="567"/>
        <w:jc w:val="both"/>
      </w:pPr>
      <w:r>
        <w:rPr>
          <w:rFonts w:ascii="Arial" w:cs="Arial" w:eastAsia="Arial" w:hAnsi="Arial"/>
          <w:sz w:val="24"/>
          <w:szCs w:val="24"/>
        </w:rPr>
        <w:t xml:space="preserve">Развитый финансовый рынок является неотъемлемым и важнейшим звеном в воздействии мер по денежно-кредитной политике на экономику. Продолжится работа по способствованию дальнейшей активизации и развитию межбанковского денежного рынка. В этой связи тактические меры денежно-кредитной политики будут направлены на создание условий для формирования такой динамики краткосрочных процентных ставок денежного рынка, которая будет способствовать их рыночному образованию и большей определенности.</w:t>
      </w:r>
    </w:p>
    <w:p>
      <w:pPr>
        <w:spacing w:after="60"/>
        <w:ind w:firstLine="567"/>
        <w:jc w:val="both"/>
      </w:pPr>
      <w:r>
        <w:rPr>
          <w:rFonts w:ascii="Arial" w:cs="Arial" w:eastAsia="Arial" w:hAnsi="Arial"/>
          <w:sz w:val="24"/>
          <w:szCs w:val="24"/>
        </w:rPr>
        <w:t xml:space="preserve">Денежное предложение в экономику будет осуществляться с учетом востребованности внутреннего производства, с тем чтобы сохранить равновесный уровень объема денег в экономике для стабильной инфляции и содействия экономическому росту в долгосрочной перспективе.</w:t>
      </w:r>
    </w:p>
    <w:p>
      <w:pPr>
        <w:spacing w:after="60"/>
        <w:ind w:firstLine="567"/>
        <w:jc w:val="both"/>
      </w:pPr>
      <w:r>
        <w:rPr>
          <w:rFonts w:ascii="Arial" w:cs="Arial" w:eastAsia="Arial" w:hAnsi="Arial"/>
          <w:sz w:val="24"/>
          <w:szCs w:val="24"/>
        </w:rPr>
        <w:t xml:space="preserve">Приоритетным направлением остается увеличение доли безналичных платежей и расчетов. В этом направлении будет продолжена работа по изучению и развитию новых платежных и финансовых технологий на рынке. Увеличение доли безналичных платежей окажет положительное влияние на трансмиссионный механизм денежно-кредитной политики.</w:t>
      </w:r>
    </w:p>
    <w:p>
      <w:pPr>
        <w:spacing w:after="60"/>
        <w:ind w:firstLine="567"/>
        <w:jc w:val="both"/>
      </w:pPr>
      <w:r>
        <w:rPr>
          <w:rFonts w:ascii="Arial" w:cs="Arial" w:eastAsia="Arial" w:hAnsi="Arial"/>
          <w:sz w:val="24"/>
          <w:szCs w:val="24"/>
        </w:rPr>
        <w:t xml:space="preserve">Национальный банк совместно с банковским сектором и сектором микрофинансирования продолжит работу по реализации основных направлений развития банковского и микрофинансового секторов и платежных систем.</w:t>
      </w:r>
    </w:p>
    <w:p>
      <w:pPr>
        <w:spacing w:after="60" w:before="200"/>
        <w:ind w:firstLine="567"/>
        <w:jc w:val="left"/>
      </w:pPr>
      <w:r>
        <w:rPr>
          <w:rFonts w:ascii="Arial" w:cs="Arial" w:eastAsia="Arial" w:hAnsi="Arial"/>
          <w:b/>
          <w:bCs/>
          <w:sz w:val="24"/>
          <w:szCs w:val="24"/>
        </w:rPr>
        <w:t xml:space="preserve">7.3. Налоговая политика</w:t>
      </w:r>
    </w:p>
    <w:p>
      <w:pPr>
        <w:spacing w:after="60"/>
        <w:ind w:firstLine="567"/>
        <w:jc w:val="both"/>
      </w:pPr>
      <w:r>
        <w:rPr>
          <w:rFonts w:ascii="Arial" w:cs="Arial" w:eastAsia="Arial" w:hAnsi="Arial"/>
          <w:sz w:val="24"/>
          <w:szCs w:val="24"/>
        </w:rPr>
        <w:t xml:space="preserve">Концептуальные основы фискальной политики Кыргызской Республики будут предопределяться и проводиться в рамках Концепции фискальной политики в Кыргызской Республике на 2015-2020 годы, утвержденной постановлением Правительства Кыргызской Республики от 7 июля 2015 года № 455, а также заложенных Правительством мер в программных документах. Политика будет направлена на эффективную реализацию выработанных мер государственной политики и обеспечение сбалансированного роста экономики. Сохранится стимулирующая роль фискальной политики, направленная на диверсификацию, технологическое обновление и модернизацию производства, повышение конкурентоспособности экономики через фискальные инструменты (электронная фискализация, налоговые льготы, экспортные субсидии, кредитование и др.).</w:t>
      </w:r>
    </w:p>
    <w:p>
      <w:pPr>
        <w:spacing w:after="60"/>
        <w:ind w:firstLine="567"/>
        <w:jc w:val="both"/>
      </w:pPr>
      <w:r>
        <w:rPr>
          <w:rFonts w:ascii="Arial" w:cs="Arial" w:eastAsia="Arial" w:hAnsi="Arial"/>
          <w:sz w:val="24"/>
          <w:szCs w:val="24"/>
        </w:rPr>
        <w:t xml:space="preserve">Основными задачами налоговой политики будут дальнейшее совершенствование налогового законодательства, в том числе:</w:t>
      </w:r>
    </w:p>
    <w:p>
      <w:pPr>
        <w:spacing w:after="60"/>
        <w:ind w:firstLine="567"/>
        <w:jc w:val="both"/>
      </w:pPr>
      <w:r>
        <w:rPr>
          <w:rFonts w:ascii="Arial" w:cs="Arial" w:eastAsia="Arial" w:hAnsi="Arial"/>
          <w:sz w:val="24"/>
          <w:szCs w:val="24"/>
        </w:rPr>
        <w:t xml:space="preserve">- в области сбора страховых платежей;</w:t>
      </w:r>
    </w:p>
    <w:p>
      <w:pPr>
        <w:spacing w:after="60"/>
        <w:ind w:firstLine="567"/>
        <w:jc w:val="both"/>
      </w:pPr>
      <w:r>
        <w:rPr>
          <w:rFonts w:ascii="Arial" w:cs="Arial" w:eastAsia="Arial" w:hAnsi="Arial"/>
          <w:sz w:val="24"/>
          <w:szCs w:val="24"/>
        </w:rPr>
        <w:t xml:space="preserve">- создание современных технических решений, введение технологий, направленных на защиту добросовестных налогоплательщиков и граждан;</w:t>
      </w:r>
    </w:p>
    <w:p>
      <w:pPr>
        <w:spacing w:after="60"/>
        <w:ind w:firstLine="567"/>
        <w:jc w:val="both"/>
      </w:pPr>
      <w:r>
        <w:rPr>
          <w:rFonts w:ascii="Arial" w:cs="Arial" w:eastAsia="Arial" w:hAnsi="Arial"/>
          <w:sz w:val="24"/>
          <w:szCs w:val="24"/>
        </w:rPr>
        <w:t xml:space="preserve">- создание национального компонента системы прослеживаемости и оборота товаров;</w:t>
      </w:r>
    </w:p>
    <w:p>
      <w:pPr>
        <w:spacing w:after="60"/>
        <w:ind w:firstLine="567"/>
        <w:jc w:val="both"/>
      </w:pPr>
      <w:r>
        <w:rPr>
          <w:rFonts w:ascii="Arial" w:cs="Arial" w:eastAsia="Arial" w:hAnsi="Arial"/>
          <w:sz w:val="24"/>
          <w:szCs w:val="24"/>
        </w:rPr>
        <w:t xml:space="preserve">- повышение позиции страны в международных рейтингах по показателю "Налогообложение";</w:t>
      </w:r>
    </w:p>
    <w:p>
      <w:pPr>
        <w:spacing w:after="60"/>
        <w:ind w:firstLine="567"/>
        <w:jc w:val="both"/>
      </w:pPr>
      <w:r>
        <w:rPr>
          <w:rFonts w:ascii="Arial" w:cs="Arial" w:eastAsia="Arial" w:hAnsi="Arial"/>
          <w:sz w:val="24"/>
          <w:szCs w:val="24"/>
        </w:rPr>
        <w:t xml:space="preserve">- снижение административных барьеров, а также стимулирование легализации неформального сектора экономики;</w:t>
      </w:r>
    </w:p>
    <w:p>
      <w:pPr>
        <w:spacing w:after="60"/>
        <w:ind w:firstLine="567"/>
        <w:jc w:val="both"/>
      </w:pPr>
      <w:r>
        <w:rPr>
          <w:rFonts w:ascii="Arial" w:cs="Arial" w:eastAsia="Arial" w:hAnsi="Arial"/>
          <w:sz w:val="24"/>
          <w:szCs w:val="24"/>
        </w:rPr>
        <w:t xml:space="preserve">- совершенствование и автоматизация системы налоговой отчетности;</w:t>
      </w:r>
    </w:p>
    <w:p>
      <w:pPr>
        <w:spacing w:after="60"/>
        <w:ind w:firstLine="567"/>
        <w:jc w:val="both"/>
      </w:pPr>
      <w:r>
        <w:rPr>
          <w:rFonts w:ascii="Arial" w:cs="Arial" w:eastAsia="Arial" w:hAnsi="Arial"/>
          <w:sz w:val="24"/>
          <w:szCs w:val="24"/>
        </w:rPr>
        <w:t xml:space="preserve">- защита добросовестных отечественных производителей и импортеров;</w:t>
      </w:r>
    </w:p>
    <w:p>
      <w:pPr>
        <w:spacing w:after="60"/>
        <w:ind w:firstLine="567"/>
        <w:jc w:val="both"/>
      </w:pPr>
      <w:r>
        <w:rPr>
          <w:rFonts w:ascii="Arial" w:cs="Arial" w:eastAsia="Arial" w:hAnsi="Arial"/>
          <w:sz w:val="24"/>
          <w:szCs w:val="24"/>
        </w:rPr>
        <w:t xml:space="preserve">- создание современной системы налоговой проверки и учета товарной продукции и ее соответствие заявленным характеристикам в фискальных целях;</w:t>
      </w:r>
    </w:p>
    <w:p>
      <w:pPr>
        <w:spacing w:after="60"/>
        <w:ind w:firstLine="567"/>
        <w:jc w:val="both"/>
      </w:pPr>
      <w:r>
        <w:rPr>
          <w:rFonts w:ascii="Arial" w:cs="Arial" w:eastAsia="Arial" w:hAnsi="Arial"/>
          <w:sz w:val="24"/>
          <w:szCs w:val="24"/>
        </w:rPr>
        <w:t xml:space="preserve">- переход на электронное взаимодействие в цепи поставок товаров и услуг.</w:t>
      </w:r>
    </w:p>
    <w:p>
      <w:pPr>
        <w:spacing w:after="60" w:before="200"/>
        <w:ind w:firstLine="567"/>
        <w:jc w:val="left"/>
      </w:pPr>
      <w:r>
        <w:rPr>
          <w:rFonts w:ascii="Arial" w:cs="Arial" w:eastAsia="Arial" w:hAnsi="Arial"/>
          <w:b/>
          <w:bCs/>
          <w:sz w:val="24"/>
          <w:szCs w:val="24"/>
        </w:rPr>
        <w:t xml:space="preserve">7.4. Бюджетная политика</w:t>
      </w:r>
    </w:p>
    <w:p>
      <w:pPr>
        <w:spacing w:after="60"/>
        <w:ind w:firstLine="567"/>
        <w:jc w:val="both"/>
      </w:pPr>
      <w:r>
        <w:rPr>
          <w:rFonts w:ascii="Arial" w:cs="Arial" w:eastAsia="Arial" w:hAnsi="Arial"/>
          <w:sz w:val="24"/>
          <w:szCs w:val="24"/>
        </w:rPr>
        <w:t xml:space="preserve">Бюджетная политика будет реализовываться в соответствии со Стратегией развития управления государственными финансами на 2017-2025 годы, утвержденной постановлением Правительства Кыргызской Республики от 22 декабря 2016 года № 696, Основными направлениями фискальной политики Кыргызской Республики на 2019-2021 годы, утвержденными постановлением Правительства Кыргызской Республики от 23 августа 2018 года № 397, и будет направлена на дальнейшую консолидацию, достижение бюджетной устойчивости.</w:t>
      </w:r>
    </w:p>
    <w:p>
      <w:pPr>
        <w:spacing w:after="60"/>
        <w:ind w:firstLine="567"/>
        <w:jc w:val="both"/>
      </w:pPr>
      <w:r>
        <w:rPr>
          <w:rFonts w:ascii="Arial" w:cs="Arial" w:eastAsia="Arial" w:hAnsi="Arial"/>
          <w:sz w:val="24"/>
          <w:szCs w:val="24"/>
        </w:rPr>
        <w:t xml:space="preserve">Реализация бюджетной политики будет достигаться через решение следующих задач:</w:t>
      </w:r>
    </w:p>
    <w:p>
      <w:pPr>
        <w:spacing w:after="60"/>
        <w:ind w:firstLine="567"/>
        <w:jc w:val="both"/>
      </w:pPr>
      <w:r>
        <w:rPr>
          <w:rFonts w:ascii="Arial" w:cs="Arial" w:eastAsia="Arial" w:hAnsi="Arial"/>
          <w:sz w:val="24"/>
          <w:szCs w:val="24"/>
        </w:rPr>
        <w:t xml:space="preserve">- улучшение планирования и исполнение государственного бюджета, включая, повышение прозрачности, полноты и достоверности бюджета; улучшение контроля доходов и расходов бюджета;</w:t>
      </w:r>
    </w:p>
    <w:p>
      <w:pPr>
        <w:spacing w:after="60"/>
        <w:ind w:firstLine="567"/>
        <w:jc w:val="both"/>
      </w:pPr>
      <w:r>
        <w:rPr>
          <w:rFonts w:ascii="Arial" w:cs="Arial" w:eastAsia="Arial" w:hAnsi="Arial"/>
          <w:sz w:val="24"/>
          <w:szCs w:val="24"/>
        </w:rPr>
        <w:t xml:space="preserve">- своевременность учета и финансовой отчетности;</w:t>
      </w:r>
    </w:p>
    <w:p>
      <w:pPr>
        <w:spacing w:after="60"/>
        <w:ind w:firstLine="567"/>
        <w:jc w:val="both"/>
      </w:pPr>
      <w:r>
        <w:rPr>
          <w:rFonts w:ascii="Arial" w:cs="Arial" w:eastAsia="Arial" w:hAnsi="Arial"/>
          <w:sz w:val="24"/>
          <w:szCs w:val="24"/>
        </w:rPr>
        <w:t xml:space="preserve">- совершенствование процедур внутреннего и внешнего аудита.</w:t>
      </w:r>
    </w:p>
    <w:p>
      <w:pPr>
        <w:spacing w:after="60"/>
        <w:ind w:firstLine="567"/>
        <w:jc w:val="both"/>
      </w:pPr>
      <w:r>
        <w:rPr>
          <w:rFonts w:ascii="Arial" w:cs="Arial" w:eastAsia="Arial" w:hAnsi="Arial"/>
          <w:sz w:val="24"/>
          <w:szCs w:val="24"/>
        </w:rPr>
        <w:t xml:space="preserve">В целом проводимая в среднесрочном периоде политика, как и прежде, будет направлена на обеспечение бюджетной устойчивости и ориентирована на реализацию следующих направлений: увеличение ресурсного потенциала бюджета; сокращение негативного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4"/>
          <w:szCs w:val="24"/>
        </w:rPr>
        <w:t xml:space="preserve">В среднесрочной перспективе принимаемые меры по созданию благоприятных условий для предпринимательства и запуску новых производственных мощностей в отраслях экономики (например, запуск заводов по производству цемента, сборке электромобилей, технополисов и др.), вводу в эксплуатацию новых месторождений таких, как Джеруй и Чаарат, снижению уровня теневой экономики страны, разработке механизмов для доступа к финансовым ресурсам на долгосрочный период, расширению возможностей гарантийного фонда, внедрению электронной системы фискализации налоговых процедур и др. позволят увеличить поступления в доходную часть государственного бюджета. Исходя из этого, показатель доли налоговых доходов к ВВП на среднесрочный период прогнозируется на уровне 22,3%.</w:t>
      </w:r>
    </w:p>
    <w:p>
      <w:pPr>
        <w:spacing w:after="60" w:before="200"/>
        <w:ind w:firstLine="567"/>
        <w:jc w:val="left"/>
      </w:pPr>
      <w:r>
        <w:rPr>
          <w:rFonts w:ascii="Arial" w:cs="Arial" w:eastAsia="Arial" w:hAnsi="Arial"/>
          <w:b/>
          <w:bCs/>
          <w:sz w:val="24"/>
          <w:szCs w:val="24"/>
        </w:rPr>
        <w:t xml:space="preserve">7.5. Бюджет развития</w:t>
      </w:r>
    </w:p>
    <w:p>
      <w:pPr>
        <w:spacing w:after="60"/>
        <w:ind w:firstLine="567"/>
        <w:jc w:val="both"/>
      </w:pPr>
      <w:r>
        <w:rPr>
          <w:rFonts w:ascii="Arial" w:cs="Arial" w:eastAsia="Arial" w:hAnsi="Arial"/>
          <w:sz w:val="24"/>
          <w:szCs w:val="24"/>
        </w:rPr>
        <w:t xml:space="preserve">В 2020 году из республиканского бюджета по статье "Капитальные вложения" предусмотрены средства в сумме 3,8 млрд. сомов, которые в первую очередь будут направлены на завершение строительства объектов высокой строительной готовности, реконструкцию объектов образования, пострадавших от стихийных бедствий, а также аварийные объекты.</w:t>
      </w:r>
    </w:p>
    <w:p>
      <w:pPr>
        <w:spacing w:after="60"/>
        <w:ind w:firstLine="567"/>
        <w:jc w:val="both"/>
      </w:pPr>
      <w:r>
        <w:rPr>
          <w:rFonts w:ascii="Arial" w:cs="Arial" w:eastAsia="Arial" w:hAnsi="Arial"/>
          <w:sz w:val="24"/>
          <w:szCs w:val="24"/>
        </w:rPr>
        <w:t xml:space="preserve">При увеличении ресурсов для государственных капитальных вложений планируется финансирование завершения строительства ранее начатых объектов образования, здравоохранения, культуры и спорта, будут продолжаться финансирование строительства и развитие социальной и инженерной инфраструктуры городов Бишкек и Ош, в рамках развития регионов планируется в приоритетном порядке финансирование строительства автомобильных дорог стратегического значения и автодорог, находящихся в приграничных районах республики. В соответствии с Государственной программой развития ирригации Кыргызской Республики на 2017-2026 годы, утвержденной постановлением Правительства Кыргызской Республики от 21 июля 2017 года № 440, будет продолжено финансирование завершения строительства ирригационных каналов, что позволит осваивать значительные площади новых орошаемых земель в Баткенской, Джалал-Абадской, Нарынской, Ошской и Таласской областях Кыргызской Республики (4825 га с ориентировочной стоимостью 6065 млн. сомов).</w:t>
      </w:r>
    </w:p>
    <w:p>
      <w:pPr>
        <w:spacing w:after="60"/>
        <w:ind w:firstLine="567"/>
        <w:jc w:val="both"/>
      </w:pPr>
      <w:r>
        <w:rPr>
          <w:rFonts w:ascii="Arial" w:cs="Arial" w:eastAsia="Arial" w:hAnsi="Arial"/>
          <w:sz w:val="24"/>
          <w:szCs w:val="24"/>
        </w:rPr>
        <w:t xml:space="preserve">В 2020 году важнейшими направлениями проектов государственных инвестиций останутся развитие транспортной системы, энергетической инфраструктуры, а также сельского хозяйства, ирригации, водоснабжения и социальной инфраструктуры.</w:t>
      </w:r>
    </w:p>
    <w:p>
      <w:pPr>
        <w:spacing w:after="60"/>
        <w:ind w:firstLine="567"/>
        <w:jc w:val="both"/>
      </w:pPr>
      <w:r>
        <w:rPr>
          <w:rFonts w:ascii="Arial" w:cs="Arial" w:eastAsia="Arial" w:hAnsi="Arial"/>
          <w:sz w:val="24"/>
          <w:szCs w:val="24"/>
        </w:rPr>
        <w:t xml:space="preserve">Общая сумма бюджетного финансирования проектов государственных инвестиций из всех источников составит 34100,6 млн. сомов. При этом доля внешнего финансирования за счет займов и грантов составит 32580,8 млн. сомов (95,5% от общей суммы финансирования), на софинансирование проектов государственных инвестиций будет использовано 1519,8 млн. сомов (4,5%).</w:t>
      </w:r>
    </w:p>
    <w:p>
      <w:pPr>
        <w:spacing w:after="60"/>
        <w:ind w:firstLine="567"/>
        <w:jc w:val="both"/>
      </w:pPr>
      <w:r>
        <w:rPr>
          <w:rFonts w:ascii="Arial" w:cs="Arial" w:eastAsia="Arial" w:hAnsi="Arial"/>
          <w:sz w:val="24"/>
          <w:szCs w:val="24"/>
        </w:rPr>
        <w:t xml:space="preserve">Доминирующую роль будет играть экономический блок, на который будет приходиться около 90% всего финансирования, включающий такие направления, как сельское хозяйство, транспорт, энергетика и социальная инфраструктура, на развитие которых будут направлены значительные объемы государственных инвестиций.</w:t>
      </w:r>
    </w:p>
    <w:p>
      <w:pPr>
        <w:spacing w:after="60"/>
        <w:ind w:firstLine="567"/>
        <w:jc w:val="both"/>
      </w:pPr>
      <w:r>
        <w:rPr>
          <w:rFonts w:ascii="Arial" w:cs="Arial" w:eastAsia="Arial" w:hAnsi="Arial"/>
          <w:sz w:val="24"/>
          <w:szCs w:val="24"/>
        </w:rPr>
        <w:t xml:space="preserve">На финансирование социального сектора будет направлено около 10% от общего объема финансирования.</w:t>
      </w:r>
    </w:p>
    <w:p>
      <w:pPr>
        <w:spacing w:after="60" w:before="200"/>
        <w:ind w:firstLine="567"/>
        <w:jc w:val="left"/>
      </w:pPr>
      <w:r>
        <w:rPr>
          <w:rFonts w:ascii="Arial" w:cs="Arial" w:eastAsia="Arial" w:hAnsi="Arial"/>
          <w:b/>
          <w:bCs/>
          <w:sz w:val="24"/>
          <w:szCs w:val="24"/>
        </w:rPr>
        <w:t xml:space="preserve">7.6. Инвестиционная политика</w:t>
      </w:r>
    </w:p>
    <w:p>
      <w:pPr>
        <w:spacing w:after="60"/>
        <w:ind w:firstLine="567"/>
        <w:jc w:val="both"/>
      </w:pPr>
      <w:r>
        <w:rPr>
          <w:rFonts w:ascii="Arial" w:cs="Arial" w:eastAsia="Arial" w:hAnsi="Arial"/>
          <w:sz w:val="24"/>
          <w:szCs w:val="24"/>
        </w:rPr>
        <w:t xml:space="preserve">Основной целью проведения инвестиционной политики в 2020 году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60"/>
        <w:ind w:firstLine="567"/>
        <w:jc w:val="both"/>
      </w:pPr>
      <w:r>
        <w:rPr>
          <w:rFonts w:ascii="Arial" w:cs="Arial" w:eastAsia="Arial" w:hAnsi="Arial"/>
          <w:sz w:val="24"/>
          <w:szCs w:val="24"/>
        </w:rPr>
        <w:t xml:space="preserve">В части повышения инвестиционной привлекательности и создания благоприятной деловой среды основное внимание будет уделено повышению инвестиционного потенциала и привлекательности регионов страны, с учетом имеющихся преимуществ и особенностей каждой области; инвестированию в приоритетные и стратегически значимые отрасли региональной экономики; улучшению институциональной среды для ведения бизнеса; привлечению местных инвестиций для реализации проектов; совершенствованию законодательства по государственно-частному партнерству и инвестициям путем упрощения требований и создания благоприятных условий для привлечения инвестиций; реализации Программы развития государственно-частного партнерства в Кыргызской Республике на 2016-2021 годы, утвержденной постановлением Правительства Кыргызской Республики от 16 июня 2016 года № 327;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Основными задачами инвестиционной политики в 2020 году будут:</w:t>
      </w:r>
    </w:p>
    <w:p>
      <w:pPr>
        <w:spacing w:after="60"/>
        <w:ind w:firstLine="567"/>
        <w:jc w:val="both"/>
      </w:pPr>
      <w:r>
        <w:rPr>
          <w:rFonts w:ascii="Arial" w:cs="Arial" w:eastAsia="Arial" w:hAnsi="Arial"/>
          <w:sz w:val="24"/>
          <w:szCs w:val="24"/>
        </w:rPr>
        <w:t xml:space="preserve">- повышение инвестиционного потенциала и привлекательности регионов страны, с учетом имеющихся преимуществ и особенностей каждой области;</w:t>
      </w:r>
    </w:p>
    <w:p>
      <w:pPr>
        <w:spacing w:after="60"/>
        <w:ind w:firstLine="567"/>
        <w:jc w:val="both"/>
      </w:pPr>
      <w:r>
        <w:rPr>
          <w:rFonts w:ascii="Arial" w:cs="Arial" w:eastAsia="Arial" w:hAnsi="Arial"/>
          <w:sz w:val="24"/>
          <w:szCs w:val="24"/>
        </w:rPr>
        <w:t xml:space="preserve">- инвестирование в приоритетные и стратегически значимые отрасли региональной экономики;</w:t>
      </w:r>
    </w:p>
    <w:p>
      <w:pPr>
        <w:spacing w:after="60"/>
        <w:ind w:firstLine="567"/>
        <w:jc w:val="both"/>
      </w:pPr>
      <w:r>
        <w:rPr>
          <w:rFonts w:ascii="Arial" w:cs="Arial" w:eastAsia="Arial" w:hAnsi="Arial"/>
          <w:sz w:val="24"/>
          <w:szCs w:val="24"/>
        </w:rPr>
        <w:t xml:space="preserve">- привлечение внутренних инвестиций для реализации проектов;</w:t>
      </w:r>
    </w:p>
    <w:p>
      <w:pPr>
        <w:spacing w:after="60"/>
        <w:ind w:firstLine="567"/>
        <w:jc w:val="both"/>
      </w:pPr>
      <w:r>
        <w:rPr>
          <w:rFonts w:ascii="Arial" w:cs="Arial" w:eastAsia="Arial" w:hAnsi="Arial"/>
          <w:sz w:val="24"/>
          <w:szCs w:val="24"/>
        </w:rPr>
        <w:t xml:space="preserve">- государственная поддержка наиболее важных жизнеобеспечивающих производств и социальной сферы;</w:t>
      </w:r>
    </w:p>
    <w:p>
      <w:pPr>
        <w:spacing w:after="60"/>
        <w:ind w:firstLine="567"/>
        <w:jc w:val="both"/>
      </w:pPr>
      <w:r>
        <w:rPr>
          <w:rFonts w:ascii="Arial" w:cs="Arial" w:eastAsia="Arial" w:hAnsi="Arial"/>
          <w:sz w:val="24"/>
          <w:szCs w:val="24"/>
        </w:rPr>
        <w:t xml:space="preserve">- совершенствование инструментов инвестиционной привлекательности;</w:t>
      </w:r>
    </w:p>
    <w:p>
      <w:pPr>
        <w:spacing w:after="60"/>
        <w:ind w:firstLine="567"/>
        <w:jc w:val="both"/>
      </w:pPr>
      <w:r>
        <w:rPr>
          <w:rFonts w:ascii="Arial" w:cs="Arial" w:eastAsia="Arial" w:hAnsi="Arial"/>
          <w:sz w:val="24"/>
          <w:szCs w:val="24"/>
        </w:rPr>
        <w:t xml:space="preserve">- инвестирование, направленное на развитие человеческих ресурсов, улучшение среды проживания населения;</w:t>
      </w:r>
    </w:p>
    <w:p>
      <w:pPr>
        <w:spacing w:after="60"/>
        <w:ind w:firstLine="567"/>
        <w:jc w:val="both"/>
      </w:pPr>
      <w:r>
        <w:rPr>
          <w:rFonts w:ascii="Arial" w:cs="Arial" w:eastAsia="Arial" w:hAnsi="Arial"/>
          <w:sz w:val="24"/>
          <w:szCs w:val="24"/>
        </w:rPr>
        <w:t xml:space="preserve">- повышение эффективности государственной поддержки субъектов предпринимательской и инвестиционной деятельности;</w:t>
      </w:r>
    </w:p>
    <w:p>
      <w:pPr>
        <w:spacing w:after="60"/>
        <w:ind w:firstLine="567"/>
        <w:jc w:val="both"/>
      </w:pPr>
      <w:r>
        <w:rPr>
          <w:rFonts w:ascii="Arial" w:cs="Arial" w:eastAsia="Arial" w:hAnsi="Arial"/>
          <w:sz w:val="24"/>
          <w:szCs w:val="24"/>
        </w:rPr>
        <w:t xml:space="preserve">- развитие международного и межрегионального сотрудничества;</w:t>
      </w:r>
    </w:p>
    <w:p>
      <w:pPr>
        <w:spacing w:after="60"/>
        <w:ind w:firstLine="567"/>
        <w:jc w:val="both"/>
      </w:pPr>
      <w:r>
        <w:rPr>
          <w:rFonts w:ascii="Arial" w:cs="Arial" w:eastAsia="Arial" w:hAnsi="Arial"/>
          <w:sz w:val="24"/>
          <w:szCs w:val="24"/>
        </w:rPr>
        <w:t xml:space="preserve">- введение механизма "Единого окна" для крупных иностранных инвесторов путем наделения государственного органа по инвестициям полномочиями по координации всей инвестиционной политики, а также необходимыми ресурсами для продвижения инвестиционных проектов и реализации инвестиционных лотов в стране;</w:t>
      </w:r>
    </w:p>
    <w:p>
      <w:pPr>
        <w:spacing w:after="60"/>
        <w:ind w:firstLine="567"/>
        <w:jc w:val="both"/>
      </w:pPr>
      <w:r>
        <w:rPr>
          <w:rFonts w:ascii="Arial" w:cs="Arial" w:eastAsia="Arial" w:hAnsi="Arial"/>
          <w:sz w:val="24"/>
          <w:szCs w:val="24"/>
        </w:rPr>
        <w:t xml:space="preserve">- создание системы эффективной и устойчивой деятельности инвестиционных фондов и финансовых институтов;</w:t>
      </w:r>
    </w:p>
    <w:p>
      <w:pPr>
        <w:spacing w:after="60"/>
        <w:ind w:firstLine="567"/>
        <w:jc w:val="both"/>
      </w:pPr>
      <w:r>
        <w:rPr>
          <w:rFonts w:ascii="Arial" w:cs="Arial" w:eastAsia="Arial" w:hAnsi="Arial"/>
          <w:sz w:val="24"/>
          <w:szCs w:val="24"/>
        </w:rPr>
        <w:t xml:space="preserve">- улучшение законодательства по государственно-частному партнерству и инвестициям путем упрощения требований и создания благоприятных условий для привлечения инвестиций;</w:t>
      </w:r>
    </w:p>
    <w:p>
      <w:pPr>
        <w:spacing w:after="60"/>
        <w:ind w:firstLine="567"/>
        <w:jc w:val="both"/>
      </w:pPr>
      <w:r>
        <w:rPr>
          <w:rFonts w:ascii="Arial" w:cs="Arial" w:eastAsia="Arial" w:hAnsi="Arial"/>
          <w:sz w:val="24"/>
          <w:szCs w:val="24"/>
        </w:rPr>
        <w:t xml:space="preserve">- создание крупных национальных корпораций по управлению государственными активами для привлечения инвестиций;</w:t>
      </w:r>
    </w:p>
    <w:p>
      <w:pPr>
        <w:spacing w:after="60"/>
        <w:ind w:firstLine="567"/>
        <w:jc w:val="both"/>
      </w:pPr>
      <w:r>
        <w:rPr>
          <w:rFonts w:ascii="Arial" w:cs="Arial" w:eastAsia="Arial" w:hAnsi="Arial"/>
          <w:sz w:val="24"/>
          <w:szCs w:val="24"/>
        </w:rPr>
        <w:t xml:space="preserve">- 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 проведение работы по ознакомлению бизнес-сообществ с инвестиционными возможностями страны и улучшению позиций Кыргызской Республики в международных рейтингах;</w:t>
      </w:r>
    </w:p>
    <w:p>
      <w:pPr>
        <w:spacing w:after="60"/>
        <w:ind w:firstLine="567"/>
        <w:jc w:val="both"/>
      </w:pPr>
      <w:r>
        <w:rPr>
          <w:rFonts w:ascii="Arial" w:cs="Arial" w:eastAsia="Arial" w:hAnsi="Arial"/>
          <w:sz w:val="24"/>
          <w:szCs w:val="24"/>
        </w:rPr>
        <w:t xml:space="preserve">- разработка бизнес-планов и технико-экономических обоснований для инвестиционных проектов со стороны уполномоченного органа по продвижению инвестиций;</w:t>
      </w:r>
    </w:p>
    <w:p>
      <w:pPr>
        <w:spacing w:after="60"/>
        <w:ind w:firstLine="567"/>
        <w:jc w:val="both"/>
      </w:pPr>
      <w:r>
        <w:rPr>
          <w:rFonts w:ascii="Arial" w:cs="Arial" w:eastAsia="Arial" w:hAnsi="Arial"/>
          <w:sz w:val="24"/>
          <w:szCs w:val="24"/>
        </w:rPr>
        <w:t xml:space="preserve">- направление внешних усилий на мобилизацию и задействование ресурсов загранучреждений Кыргызской Республики, в том числе с привлечением института торговых представителей.</w:t>
      </w:r>
    </w:p>
    <w:p>
      <w:pPr>
        <w:spacing w:after="60" w:before="200"/>
        <w:ind w:firstLine="567"/>
        <w:jc w:val="left"/>
      </w:pPr>
      <w:r>
        <w:rPr>
          <w:rFonts w:ascii="Arial" w:cs="Arial" w:eastAsia="Arial" w:hAnsi="Arial"/>
          <w:b/>
          <w:bCs/>
          <w:sz w:val="24"/>
          <w:szCs w:val="24"/>
        </w:rPr>
        <w:t xml:space="preserve">7.7. Инновационная политика</w:t>
      </w:r>
    </w:p>
    <w:p>
      <w:pPr>
        <w:spacing w:after="60"/>
        <w:ind w:firstLine="567"/>
        <w:jc w:val="both"/>
      </w:pPr>
      <w:r>
        <w:rPr>
          <w:rFonts w:ascii="Arial" w:cs="Arial" w:eastAsia="Arial" w:hAnsi="Arial"/>
          <w:sz w:val="24"/>
          <w:szCs w:val="24"/>
        </w:rPr>
        <w:t xml:space="preserve">Государственная политика в сфере интеллектуальной собственности и инновационной деятельности будет направлена на создание благоприятного экономического климата для осуществления инновационных процессов и создания условий для функционирования рынка интеллектуальной собственности. В среднесрочной перспективе будут создаваться условия, направленные на наращивание потенциала по созданию интеллектуальной собственности, совершенствование механизмов получения прав и защиты и создание условий для использования объектов интеллектуальной собственности.</w:t>
      </w:r>
    </w:p>
    <w:p>
      <w:pPr>
        <w:spacing w:after="60"/>
        <w:ind w:firstLine="567"/>
        <w:jc w:val="both"/>
      </w:pPr>
      <w:r>
        <w:rPr>
          <w:rFonts w:ascii="Arial" w:cs="Arial" w:eastAsia="Arial" w:hAnsi="Arial"/>
          <w:sz w:val="24"/>
          <w:szCs w:val="24"/>
        </w:rPr>
        <w:t xml:space="preserve">Политика в сфере интеллектуальной собственности и инновационной деятельности будет осуществляться через реализацию Государственной программы развития интеллектуальной собственности в Кыргызской Республике на 2017-2021 годы, утвержденной постановлением Правительства Кыргызской Республики от 6 июля 2017 года № 424, и Концепции научно-инновационного развития Кыргызской Республики на период до 2022 года, утвержденной постановлением Правительства Кыргызской Республики от 8 февраля 2017 года № 79.</w:t>
      </w:r>
    </w:p>
    <w:p>
      <w:pPr>
        <w:spacing w:after="60"/>
        <w:ind w:firstLine="567"/>
        <w:jc w:val="both"/>
      </w:pPr>
      <w:r>
        <w:rPr>
          <w:rFonts w:ascii="Arial" w:cs="Arial" w:eastAsia="Arial" w:hAnsi="Arial"/>
          <w:sz w:val="24"/>
          <w:szCs w:val="24"/>
        </w:rPr>
        <w:t xml:space="preserve">Будет реализовываться комплекс мер по: вовлечению в процесс создания объектов интеллектуальной собственности государственных, научно-исследовательских и частных предприятий; активизации изобретательской и творческой деятельности в регионах; совершенствованию процедур предоставления прав на результаты интеллектуальной деятельности; вовлечению гражданского общества в процесс осуществления прав интеллектуальной собственности, формированию института медиации для досудебного регулирования споров; подготовке специалистов по продвижению и управлению интеллектуальной собственностью; созданию демонстрационно-опытных площадок для взаимодействия авторов интеллектуальной собственности и бизнес-структур.</w:t>
      </w:r>
    </w:p>
    <w:p>
      <w:pPr>
        <w:spacing w:after="60"/>
        <w:ind w:firstLine="567"/>
        <w:jc w:val="both"/>
      </w:pPr>
      <w:r>
        <w:rPr>
          <w:rFonts w:ascii="Arial" w:cs="Arial" w:eastAsia="Arial" w:hAnsi="Arial"/>
          <w:sz w:val="24"/>
          <w:szCs w:val="24"/>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по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автоматизации процесса рассмотрения заявок на объекты интеллектуальной собственности; осведомленности населения о вреде контрафактной продукции, содержащей объекты интеллектуальной собственности; формированию группы представителей средств массовой информации, специализирующихся в вопросах интеллектуальной собственности.</w:t>
      </w:r>
    </w:p>
    <w:p>
      <w:pPr>
        <w:spacing w:after="60" w:before="200"/>
        <w:ind w:firstLine="567"/>
        <w:jc w:val="left"/>
      </w:pPr>
      <w:r>
        <w:rPr>
          <w:rFonts w:ascii="Arial" w:cs="Arial" w:eastAsia="Arial" w:hAnsi="Arial"/>
          <w:b/>
          <w:bCs/>
          <w:sz w:val="24"/>
          <w:szCs w:val="24"/>
        </w:rPr>
        <w:t xml:space="preserve">7.8.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Деятельность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оптимизация системы государственного управления охраной окружающей среды и природопользования;</w:t>
      </w:r>
    </w:p>
    <w:p>
      <w:pPr>
        <w:spacing w:after="60"/>
        <w:ind w:firstLine="567"/>
        <w:jc w:val="both"/>
      </w:pPr>
      <w:r>
        <w:rPr>
          <w:rFonts w:ascii="Arial" w:cs="Arial" w:eastAsia="Arial" w:hAnsi="Arial"/>
          <w:sz w:val="24"/>
          <w:szCs w:val="24"/>
        </w:rPr>
        <w:t xml:space="preserve">- снижение вредного воздействия и минимизация негативных экологических последствий экономической деятельности;</w:t>
      </w:r>
    </w:p>
    <w:p>
      <w:pPr>
        <w:spacing w:after="60"/>
        <w:ind w:firstLine="567"/>
        <w:jc w:val="both"/>
      </w:pPr>
      <w:r>
        <w:rPr>
          <w:rFonts w:ascii="Arial" w:cs="Arial" w:eastAsia="Arial" w:hAnsi="Arial"/>
          <w:sz w:val="24"/>
          <w:szCs w:val="24"/>
        </w:rPr>
        <w:t xml:space="preserve">- сохранение биоразнообразия и восстановление природных экосистем в условиях изменяющегося климата;</w:t>
      </w:r>
    </w:p>
    <w:p>
      <w:pPr>
        <w:spacing w:after="60"/>
        <w:ind w:firstLine="567"/>
        <w:jc w:val="both"/>
      </w:pPr>
      <w:r>
        <w:rPr>
          <w:rFonts w:ascii="Arial" w:cs="Arial" w:eastAsia="Arial" w:hAnsi="Arial"/>
          <w:sz w:val="24"/>
          <w:szCs w:val="24"/>
        </w:rPr>
        <w:t xml:space="preserve">- выращивание посадочного материала для озеленения (в количестве 500 тыс. штук) в 2020-2022 годы.</w:t>
      </w:r>
    </w:p>
    <w:p>
      <w:pPr>
        <w:spacing w:after="60"/>
        <w:ind w:firstLine="567"/>
        <w:jc w:val="both"/>
      </w:pPr>
      <w:r>
        <w:rPr>
          <w:rFonts w:ascii="Arial" w:cs="Arial" w:eastAsia="Arial" w:hAnsi="Arial"/>
          <w:sz w:val="24"/>
          <w:szCs w:val="24"/>
        </w:rPr>
        <w:t xml:space="preserve">Для минимизации негативных последствий изменения климата и его смягчения для населения и экономики страны будут приниматься меры по:</w:t>
      </w:r>
    </w:p>
    <w:p>
      <w:pPr>
        <w:spacing w:after="60"/>
        <w:ind w:firstLine="567"/>
        <w:jc w:val="both"/>
      </w:pPr>
      <w:r>
        <w:rPr>
          <w:rFonts w:ascii="Arial" w:cs="Arial" w:eastAsia="Arial" w:hAnsi="Arial"/>
          <w:sz w:val="24"/>
          <w:szCs w:val="24"/>
        </w:rPr>
        <w:t xml:space="preserve">- разработке отраслевых адаптационных программ по основным секторам;</w:t>
      </w:r>
    </w:p>
    <w:p>
      <w:pPr>
        <w:spacing w:after="60"/>
        <w:ind w:firstLine="567"/>
        <w:jc w:val="both"/>
      </w:pPr>
      <w:r>
        <w:rPr>
          <w:rFonts w:ascii="Arial" w:cs="Arial" w:eastAsia="Arial" w:hAnsi="Arial"/>
          <w:sz w:val="24"/>
          <w:szCs w:val="24"/>
        </w:rPr>
        <w:t xml:space="preserve">- внедрению методологий, методик и инструментов для планирования адаптационной деятельности;</w:t>
      </w:r>
    </w:p>
    <w:p>
      <w:pPr>
        <w:spacing w:after="60"/>
        <w:ind w:firstLine="567"/>
        <w:jc w:val="both"/>
      </w:pPr>
      <w:r>
        <w:rPr>
          <w:rFonts w:ascii="Arial" w:cs="Arial" w:eastAsia="Arial" w:hAnsi="Arial"/>
          <w:sz w:val="24"/>
          <w:szCs w:val="24"/>
        </w:rPr>
        <w:t xml:space="preserve">- уменьшению потерь от неблагоприятного воздействия изменения климата на здоровье населения, экономику и окружающую среду.</w:t>
      </w:r>
    </w:p>
    <w:p>
      <w:pPr>
        <w:spacing w:after="60" w:before="200"/>
        <w:ind w:firstLine="567"/>
        <w:jc w:val="left"/>
      </w:pPr>
      <w:r>
        <w:rPr>
          <w:rFonts w:ascii="Arial" w:cs="Arial" w:eastAsia="Arial" w:hAnsi="Arial"/>
          <w:b/>
          <w:bCs/>
          <w:sz w:val="24"/>
          <w:szCs w:val="24"/>
        </w:rPr>
        <w:t xml:space="preserve">7.9. Прогноз структуры экономического роста</w:t>
      </w:r>
    </w:p>
    <w:p>
      <w:pPr>
        <w:spacing w:after="60" w:before="200"/>
        <w:ind w:firstLine="567"/>
        <w:jc w:val="left"/>
      </w:pPr>
      <w:r>
        <w:rPr>
          <w:rFonts w:ascii="Arial" w:cs="Arial" w:eastAsia="Arial" w:hAnsi="Arial"/>
          <w:b/>
          <w:bCs/>
          <w:sz w:val="24"/>
          <w:szCs w:val="24"/>
        </w:rPr>
        <w:t xml:space="preserve">7.9.1. ВВП производственным методом</w:t>
      </w:r>
    </w:p>
    <w:p>
      <w:pPr>
        <w:spacing w:after="60"/>
        <w:ind w:firstLine="567"/>
        <w:jc w:val="both"/>
      </w:pPr>
      <w:r>
        <w:rPr>
          <w:rFonts w:ascii="Arial" w:cs="Arial" w:eastAsia="Arial" w:hAnsi="Arial"/>
          <w:sz w:val="24"/>
          <w:szCs w:val="24"/>
        </w:rPr>
        <w:t xml:space="preserve">Реализация указанных политик (7.1.-7.8.) позволит обеспечить макроэкономическую стабильность. На основе учета вышеуказанных предпосылок и предположений, экономический рост на 2020 год прогнозируется на уровне 3,6% с номинальным объемом в 635,1 млрд. сомов, а без учета предприятий по разработке месторождения Кумтор - на уровне 4,2%.</w:t>
      </w:r>
    </w:p>
    <w:p>
      <w:pPr>
        <w:spacing w:after="60"/>
        <w:ind w:firstLine="567"/>
        <w:jc w:val="both"/>
      </w:pPr>
      <w:r>
        <w:rPr>
          <w:rFonts w:ascii="Arial" w:cs="Arial" w:eastAsia="Arial" w:hAnsi="Arial"/>
          <w:sz w:val="24"/>
          <w:szCs w:val="24"/>
        </w:rPr>
        <w:t xml:space="preserve">Основные показатели в секторах экономики на 2020 год прогнозируются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7</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отраслям, формирующим ВВП</w:t>
      </w:r>
    </w:p>
    <w:p>
      <w:pPr>
        <w:spacing w:after="60"/>
        <w:jc w:val="center"/>
      </w:pPr>
      <w:r>
        <w:rPr>
          <w:rFonts w:ascii="Arial" w:cs="Arial" w:eastAsia="Arial" w:hAnsi="Arial"/>
          <w:sz w:val="24"/>
          <w:szCs w:val="24"/>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4"/>
        <w:gridCol w:w="1000"/>
        <w:gridCol w:w="1000"/>
        <w:gridCol w:w="1000"/>
        <w:gridCol w:w="1000"/>
        <w:gridCol w:w="1000"/>
        <w:gridCol w:w="1000"/>
        <w:gridCol w:w="1000"/>
        <w:gridCol w:w="1000"/>
      </w:tblGrid>
      <w:tr>
        <w:tc>
          <w:tcPr>
            <w:tcW w:type="dxa" w:w="21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40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vMerge w:val="continue"/>
            <w:tcBorders>
              <w:top w:val="single" w:color="CBBF9E" w:sz="4"/>
              <w:left w:val="single" w:color="CBBF9E" w:sz="4"/>
              <w:bottom w:val="single" w:color="CBBF9E" w:sz="4"/>
              <w:right w:val="single" w:color="CBBF9E" w:sz="4"/>
            </w:tcBorders>
          </w:tcP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(млн. сомов)</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595900,3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635071,6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112250,6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117455,5</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67558,4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70880,0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54459,3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60616,8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277801,6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296778,4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83830,4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89341,0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Экономический рост, прогнозируемый на уровне 3,6%, будет поддерживаться со стороны всех отраслей реальной экономики, формирующих ВВП страны. При этом наибольший вклад будет обеспечен со стороны отраслей, оказывающих услуги, - 1,5 процентного пункта, а вклады других отраслей будут умеренными: строительства - 0,9 процентного пункта, сельского хозяйства - 0,4 процентного пункта, промышленности - 0,4 процентного пункта.</w:t>
      </w:r>
    </w:p>
    <w:p>
      <w:pPr>
        <w:spacing w:after="60"/>
        <w:ind w:firstLine="567"/>
        <w:jc w:val="both"/>
      </w:pPr>
      <w:r>
        <w:rPr>
          <w:rFonts w:ascii="Arial" w:cs="Arial" w:eastAsia="Arial" w:hAnsi="Arial"/>
          <w:sz w:val="24"/>
          <w:szCs w:val="24"/>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- 46,7%, а доля отраслей, производящих товары, - 39,2%.</w:t>
      </w:r>
    </w:p>
    <w:p>
      <w:pPr>
        <w:spacing w:after="60" w:before="200"/>
        <w:ind w:firstLine="567"/>
        <w:jc w:val="left"/>
      </w:pPr>
      <w:r>
        <w:rPr>
          <w:rFonts w:ascii="Arial" w:cs="Arial" w:eastAsia="Arial" w:hAnsi="Arial"/>
          <w:b/>
          <w:bCs/>
          <w:sz w:val="24"/>
          <w:szCs w:val="24"/>
        </w:rPr>
        <w:t xml:space="preserve">Развитие реального сектора</w:t>
      </w:r>
    </w:p>
    <w:p>
      <w:pPr>
        <w:spacing w:after="60" w:before="200"/>
        <w:ind w:firstLine="567"/>
        <w:jc w:val="left"/>
      </w:pPr>
      <w:r>
        <w:rPr>
          <w:rFonts w:ascii="Arial" w:cs="Arial" w:eastAsia="Arial" w:hAnsi="Arial"/>
          <w:b/>
          <w:bCs/>
          <w:sz w:val="24"/>
          <w:szCs w:val="24"/>
        </w:rPr>
        <w:t xml:space="preserve">Сельское хозяйство</w:t>
      </w:r>
    </w:p>
    <w:p>
      <w:pPr>
        <w:spacing w:after="60"/>
        <w:ind w:firstLine="567"/>
        <w:jc w:val="both"/>
      </w:pPr>
      <w:r>
        <w:rPr>
          <w:rFonts w:ascii="Arial" w:cs="Arial" w:eastAsia="Arial" w:hAnsi="Arial"/>
          <w:sz w:val="24"/>
          <w:szCs w:val="24"/>
        </w:rPr>
        <w:t xml:space="preserve">Аграрный сектор по-прежнему остается одним из основных секторов экономики в обеспечении продовольственной безопасности страны и занятости населения (более 600 тыс. чел.). Развитие данного сектора позволяет обеспечить промышленные предприятия сырьевыми ресурсами, население - продуктами питания и формированием значительной части добавленной стоимости ВВП.</w:t>
      </w:r>
    </w:p>
    <w:p>
      <w:pPr>
        <w:spacing w:after="60"/>
        <w:ind w:firstLine="567"/>
        <w:jc w:val="both"/>
      </w:pPr>
      <w:r>
        <w:rPr>
          <w:rFonts w:ascii="Arial" w:cs="Arial" w:eastAsia="Arial" w:hAnsi="Arial"/>
          <w:sz w:val="24"/>
          <w:szCs w:val="24"/>
        </w:rPr>
        <w:t xml:space="preserve">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(1) активизация инновационной деятельности в растениеводстве, направленная на разработку систем воспроизводства почвенного плодородия, методов селекции, создание и внедрение новых сортов и гибридов, сочетающих высокий потенциал урожайности, качество продукции, устойчивость к болезням и вредителям, неблагоприятным погодным условиям, с техническим и технологическим переоснащением отрасли; (2) повышение конкурентоспособности агропромышленной продукции посредством перспективных факторов рационального размещения производительных сил, внедрения широкого арсенала форм пространственной организации (кластеры, высокотоварные специализированные зоны и др.); (3) развитие агропродовольственного рынка и его инфраструктуры, обеспечивающей ускорение товарооборота и расширение емкости агропродовольственного рынка, в том числе улучшение организации хранения, повышение эффективности транспортировки сельхозпродукции, создание оптово-распределительных, маркетинговых и логистических центров для обслуживания субъектов продовольственного рынка; (4) развитие экспортного потенциала и количественного объема отечественной сельхозпродукции, ее привлекательности в целом, за счет увеличения предложения органических продуктов, сертифицированной продукции; (5) совершенствование рационального использования водных и земельных ресурсов, внедрение экономических стимулов рационального пользования.</w:t>
      </w:r>
    </w:p>
    <w:p>
      <w:pPr>
        <w:spacing w:after="60"/>
        <w:ind w:firstLine="567"/>
        <w:jc w:val="both"/>
      </w:pPr>
      <w:r>
        <w:rPr>
          <w:rFonts w:ascii="Arial" w:cs="Arial" w:eastAsia="Arial" w:hAnsi="Arial"/>
          <w:sz w:val="24"/>
          <w:szCs w:val="24"/>
        </w:rPr>
        <w:t xml:space="preserve">Для продвижения указанных направлений будут реализованы меры, заложенные в Программе развития Кыргызской Республики, а также в следующих программных документах:</w:t>
      </w:r>
    </w:p>
    <w:p>
      <w:pPr>
        <w:spacing w:after="60"/>
        <w:ind w:firstLine="567"/>
        <w:jc w:val="both"/>
      </w:pPr>
      <w:r>
        <w:rPr>
          <w:rFonts w:ascii="Arial" w:cs="Arial" w:eastAsia="Arial" w:hAnsi="Arial"/>
          <w:sz w:val="24"/>
          <w:szCs w:val="24"/>
        </w:rPr>
        <w:t xml:space="preserve">- Концепция развития сельскохозяйственной кооперативной системы в Кыргызской Республике на 2017-2021 годы, утвержденная постановлением Правительства Кыргызской Республики от 21 апреля 2017 года № 237, направленная на развитие сельхозкооперативов в Кыргызской Республике, повышение конкурентоспособности продукции агропромышленного комплекса;</w:t>
      </w:r>
    </w:p>
    <w:p>
      <w:pPr>
        <w:spacing w:after="60"/>
        <w:ind w:firstLine="567"/>
        <w:jc w:val="both"/>
      </w:pPr>
      <w:r>
        <w:rPr>
          <w:rFonts w:ascii="Arial" w:cs="Arial" w:eastAsia="Arial" w:hAnsi="Arial"/>
          <w:sz w:val="24"/>
          <w:szCs w:val="24"/>
        </w:rPr>
        <w:t xml:space="preserve">- Концепция сохранения и повышения плодородия почвы земель сельскохозяйственного назначения в Кыргызской Республике на 2017-2020 годы, утвержденная постановлением Правительства Кыргызской Республики от 30 июня 2017 года № 414, реализация которой обеспечит производство и ассортимент отечественных экологически безопасных минеральных удобрений и мелиораторов, прирост урожайности сельскохозяйственных культур на 15-20%, а также повышение устойчивости развития сельскохозяйственного производства за счет проведения агрохимических, гидромелиоративных, агролесомелиоративных работ;</w:t>
      </w:r>
    </w:p>
    <w:p>
      <w:pPr>
        <w:spacing w:after="60"/>
        <w:ind w:firstLine="567"/>
        <w:jc w:val="both"/>
      </w:pPr>
      <w:r>
        <w:rPr>
          <w:rFonts w:ascii="Arial" w:cs="Arial" w:eastAsia="Arial" w:hAnsi="Arial"/>
          <w:sz w:val="24"/>
          <w:szCs w:val="24"/>
        </w:rPr>
        <w:t xml:space="preserve">- Государственная программа развития ирригации в Кыргызской Республике на 2017-2026 годы, утвержденная постановлением Правительства Кыргызской Республики от 21 июля 2017 года № 440, предусматривающая строительство ирригационной инфраструктуры для обеспечения новыми орошаемыми землями сельских жителей;</w:t>
      </w:r>
    </w:p>
    <w:p>
      <w:pPr>
        <w:spacing w:after="60"/>
        <w:ind w:firstLine="567"/>
        <w:jc w:val="both"/>
      </w:pPr>
      <w:r>
        <w:rPr>
          <w:rFonts w:ascii="Arial" w:cs="Arial" w:eastAsia="Arial" w:hAnsi="Arial"/>
          <w:sz w:val="24"/>
          <w:szCs w:val="24"/>
        </w:rPr>
        <w:t xml:space="preserve">- Концепция развития органического сельскохозяйственного производства в Кыргызской Республике на 2017-2022 годы, утвержденная постановлением Правительства Кыргызской Республики от 2 августа 2017 года № 459, направленная на создание благоприятных условий по развитию органического сельского хозяйства и повышение конкурентоспособности органической продукции путем совершенствования нормативных правовых актов.</w:t>
      </w:r>
    </w:p>
    <w:p>
      <w:pPr>
        <w:spacing w:after="60"/>
        <w:ind w:firstLine="567"/>
        <w:jc w:val="both"/>
      </w:pPr>
      <w:r>
        <w:rPr>
          <w:rFonts w:ascii="Arial" w:cs="Arial" w:eastAsia="Arial" w:hAnsi="Arial"/>
          <w:sz w:val="24"/>
          <w:szCs w:val="24"/>
        </w:rPr>
        <w:t xml:space="preserve">Кроме того, развитие агропромышленного сектора ориентировано в сторону увеличения доли переработки и экспорта сельскохозяйственной продукции через финансирование сельхозпроизводителей, которое начато еще в 2011 году. Ожидается продолжение проекта "Финансирование сельского хозяйства", который направлен на господдержку фермеров и субъектов предпринимательства для своевременного проведения весенних полевых работ и дальнейшего развития животноводства, растениеводства и сельскохозяйственной кооперации.</w:t>
      </w:r>
    </w:p>
    <w:p>
      <w:pPr>
        <w:spacing w:after="60"/>
        <w:ind w:firstLine="567"/>
        <w:jc w:val="both"/>
      </w:pPr>
      <w:r>
        <w:rPr>
          <w:rFonts w:ascii="Arial" w:cs="Arial" w:eastAsia="Arial" w:hAnsi="Arial"/>
          <w:sz w:val="24"/>
          <w:szCs w:val="24"/>
        </w:rPr>
        <w:t xml:space="preserve">Вследствие реализации вышеперечисленных мер, валовой выпуск продукции сельского хозяйства, лесного хозяйства и рыболовства на 2020 год прогнозируется в объеме 222,6 млрд. сомов, а темп реального прироста на уровне 3,1%, за счет прироста в растениеводстве - на 4,1% и животноводстве - на 2,4%.</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сельском хозяйстве на 2019-2020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6"/>
        <w:gridCol w:w="1110"/>
        <w:gridCol w:w="1110"/>
        <w:gridCol w:w="1110"/>
        <w:gridCol w:w="1110"/>
      </w:tblGrid>
      <w:tr>
        <w:tc>
          <w:tcPr>
            <w:tcW w:type="dxa" w:w="57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2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ожид.</w:t>
            </w:r>
          </w:p>
        </w:tc>
        <w:tc>
          <w:tcPr>
            <w:tcW w:type="dxa" w:w="22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vMerge w:val="continue"/>
            <w:tcBorders>
              <w:top w:val="single" w:color="CBBF9E" w:sz="4"/>
              <w:left w:val="single" w:color="CBBF9E" w:sz="4"/>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212181,0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222613,0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105016,5</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111291,2</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102001,5</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106126,2</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bl>
    <w:p>
      <w:pPr>
        <w:spacing w:after="60" w:before="120"/>
        <w:ind w:firstLine="567"/>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- 50,0% и 47,7%.</w:t>
      </w:r>
    </w:p>
    <w:p>
      <w:pPr>
        <w:spacing w:after="60"/>
        <w:ind w:firstLine="567"/>
        <w:jc w:val="both"/>
      </w:pPr>
      <w:r>
        <w:rPr>
          <w:rFonts w:ascii="Arial" w:cs="Arial" w:eastAsia="Arial" w:hAnsi="Arial"/>
          <w:sz w:val="24"/>
          <w:szCs w:val="24"/>
        </w:rPr>
        <w:t xml:space="preserve">Прогнозируемые темпы прироста на уровне 4,1% в растениеводстве будут обеспечены за счет повышения урожайности технических культур посредством улучшения ирригационной системы и предоставления минеральных удобрений, своевременного проведения весенне-полевых работ, увеличения удельного веса высеваемых кондиционных семян зерновых культур, оптимизации структуры посевных площадей, специализации регионов на выращивании тех культур, реализация которых будет иметь наибольший положительный эффект на благосостояние сельхозпроизводителей, улучшения сортов семян, внедрения севооборотов, обновления машинно-тракторного парка, сокращения неиспользованных пахотных земель. Темп роста, в основном, будет обеспечен за счет увеличения производства: зерновых культур - на 0,2 %, за счет увеличения урожайности на 0,1 ц/га; сахарной свеклы - на 1,4%, за счет повышения урожайности до 476,9 ц/га; картофеля - на 1,1%, за счет повышения урожайности до 169,2 ц/га; овощей - на 1,6%, за счет повышения урожайности до 215,3 ц/га; плодов и ягод - на 3,5%, за счет повышения урожайности до 53,6 ц/га.</w:t>
      </w:r>
    </w:p>
    <w:p>
      <w:pPr>
        <w:spacing w:after="60"/>
        <w:ind w:firstLine="567"/>
        <w:jc w:val="both"/>
      </w:pPr>
      <w:r>
        <w:rPr>
          <w:rFonts w:ascii="Arial" w:cs="Arial" w:eastAsia="Arial" w:hAnsi="Arial"/>
          <w:sz w:val="24"/>
          <w:szCs w:val="24"/>
        </w:rPr>
        <w:t xml:space="preserve">В производстве продукции животноводства реальный прирост на уровне 2,4% будет обеспечен путем увеличения поголовья скота, улучшения генофонда племенных животных и работы по воспроизводству стада; рационального использования пастбищ, повышения селекционно-племенной работы за счет расширения сети зооветсервисов и ветеринарных служб, создания инфраструктуры, таких как пункты искусственного осеменения, проведение идентификации животных, создание кормовой базы для увеличения показателей эффективности скота и птицы. При этом рост производства мяса в живом весе прогнозируется на 2,2% и увеличится по сравнению с предыдущим годом на 9,0 тыс. тонн, молока - на 2,5%, с увеличением на 39,9 тыс. тонн, яиц - на 4,5%, с увеличением на 24,8 млн. штук и шерсти - на 1,5%, с увеличением на 0,2 тыс. тонн.</w:t>
      </w:r>
    </w:p>
    <w:p>
      <w:pPr>
        <w:spacing w:after="60"/>
        <w:ind w:firstLine="567"/>
        <w:jc w:val="both"/>
      </w:pPr>
      <w:r>
        <w:rPr>
          <w:rFonts w:ascii="Arial" w:cs="Arial" w:eastAsia="Arial" w:hAnsi="Arial"/>
          <w:sz w:val="24"/>
          <w:szCs w:val="24"/>
        </w:rPr>
        <w:t xml:space="preserve">На достижение целевых показателей производства сельского хозяйства в 2020 году будут влиять следующие предпосылки:</w:t>
      </w:r>
    </w:p>
    <w:p>
      <w:pPr>
        <w:spacing w:after="60"/>
        <w:ind w:firstLine="567"/>
        <w:jc w:val="both"/>
      </w:pPr>
      <w:r>
        <w:rPr>
          <w:rFonts w:ascii="Arial" w:cs="Arial" w:eastAsia="Arial" w:hAnsi="Arial"/>
          <w:sz w:val="24"/>
          <w:szCs w:val="24"/>
        </w:rPr>
        <w:t xml:space="preserve">- эффект предоставленных льготных кредитов по программам "Доступные кредиты фермерам" и "Финансирование сельского хозяйства", в рамках которых на сегодняшний день выдано более 30 млрд. сомов, и продолжение практики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обновление основных средств сельскохозяйственного производства, расширение инфраструктуры технических сервисных служб и модернизация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 продолжение государственной поддержки по предоставлению льгот к доступу к горюче-смазочным материалам, обеспечение фермеров необходимой сельхозтехникой на льготных кредитных условиях путем закупа сельхозтехники по лизингу; решение проблемы обеспечения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открытая граница в страны-члены ЕАЭС, что позволит получить возможность в приобретении необходимых материально-технических ресурсов, минеральные удобрения, средства защиты растений и высокопродуктивных семян, а также возможность экспорта агропромышленной продукции;</w:t>
      </w:r>
    </w:p>
    <w:p>
      <w:pPr>
        <w:spacing w:after="60"/>
        <w:ind w:firstLine="567"/>
        <w:jc w:val="both"/>
      </w:pPr>
      <w:r>
        <w:rPr>
          <w:rFonts w:ascii="Arial" w:cs="Arial" w:eastAsia="Arial" w:hAnsi="Arial"/>
          <w:sz w:val="24"/>
          <w:szCs w:val="24"/>
        </w:rPr>
        <w:t xml:space="preserve">- укрепление и обновление материально-технической базы государственных сортоиспытательных станций и государственных сортоиспытательных участков, и увеличение объемов производства их семян в питомниках размножения для ускоренного внедрения в производство;</w:t>
      </w:r>
    </w:p>
    <w:p>
      <w:pPr>
        <w:spacing w:after="60"/>
        <w:ind w:firstLine="567"/>
        <w:jc w:val="both"/>
      </w:pPr>
      <w:r>
        <w:rPr>
          <w:rFonts w:ascii="Arial" w:cs="Arial" w:eastAsia="Arial" w:hAnsi="Arial"/>
          <w:sz w:val="24"/>
          <w:szCs w:val="24"/>
        </w:rPr>
        <w:t xml:space="preserve">- увеличение в севообороте площадей многолетних трав и рационального использования кормового потенциала пастбищ;</w:t>
      </w:r>
    </w:p>
    <w:p>
      <w:pPr>
        <w:spacing w:after="60"/>
        <w:ind w:firstLine="567"/>
        <w:jc w:val="both"/>
      </w:pPr>
      <w:r>
        <w:rPr>
          <w:rFonts w:ascii="Arial" w:cs="Arial" w:eastAsia="Arial" w:hAnsi="Arial"/>
          <w:sz w:val="24"/>
          <w:szCs w:val="24"/>
        </w:rPr>
        <w:t xml:space="preserve">- обеспечение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4"/>
          <w:szCs w:val="24"/>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4"/>
          <w:szCs w:val="24"/>
        </w:rPr>
        <w:t xml:space="preserve">- привлечение прямых инвестиций и собственных средств на развитие отрасли.</w:t>
      </w:r>
    </w:p>
    <w:p>
      <w:pPr>
        <w:spacing w:after="60"/>
        <w:ind w:firstLine="567"/>
        <w:jc w:val="both"/>
      </w:pPr>
      <w:r>
        <w:rPr>
          <w:rFonts w:ascii="Arial" w:cs="Arial" w:eastAsia="Arial" w:hAnsi="Arial"/>
          <w:sz w:val="24"/>
          <w:szCs w:val="24"/>
        </w:rPr>
        <w:t xml:space="preserve">Основными рисками в данном секторе являются: неблагоприятные природно-климатические условия; непредсказуемость цен на ГСМ; дефицит минеральных удобрений; ограниченный доступ к финансовым ресурсам; деградация сельхозугодий, физический износ сельскохозяйственной техники и оборудования и их нехватка; торговые барьеры, затрудняющие доступ товаропроизводителей из Кыргызстана на рынки сопредельных государств; неблагоприятная эпизоотическая ситуация; неэффективное использование направляемых льготных кредитных ресурсов и др.</w:t>
      </w:r>
    </w:p>
    <w:p>
      <w:pPr>
        <w:spacing w:after="60" w:before="200"/>
        <w:ind w:firstLine="567"/>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Основная цель развития промышленности - выпуск конкурентоспособной продукции для обеспечения возможности выхода на региональный рынок и эффективной интеграции промышленности Кыргызстана в региональные хозяйственные экономические связи. В соответствии с Программой развития Кыргызской Республики, в среднесрочной перспективе будет проводиться работа по восстановлению промышленной базы страны. Кроме того, развитие промышленного производства будет осуществляться в рамках реализации Программы развития пищевой и перерабатывающей промышленности Кыргызской Республики на 2017-2021 годы и Плана мероприятий по ее реализации, утвержденных постановлением Правительства Кыргызской Республики от 30 марта 2017 года № 191; проекта "Финансирование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 в том числе системы менеджмента безопасности пищевой продукции, основанной на принципах анализа рисков и определения критических контрольных точек (ХАССП)", утвержденного постановлением Правительства Кыргызской Республики от 18 октября 2017 года № 669.</w:t>
      </w:r>
    </w:p>
    <w:p>
      <w:pPr>
        <w:spacing w:after="60"/>
        <w:ind w:firstLine="567"/>
        <w:jc w:val="both"/>
      </w:pPr>
      <w:r>
        <w:rPr>
          <w:rFonts w:ascii="Arial" w:cs="Arial" w:eastAsia="Arial" w:hAnsi="Arial"/>
          <w:sz w:val="24"/>
          <w:szCs w:val="24"/>
        </w:rPr>
        <w:t xml:space="preserve">Несмотря на то, что доля промышленности в ВВП Кыргызской Республики составляет всего в среднем 18%, экспорт промышленной продукции составляет более 70% от общего объема экспорта страны, а объемы поступления иностранных инвестиций в данную отрасль составляют более 50% всех привлеченных инвестиций (почти 3,0 млн. долл. США ежегодно). Промышленность остается важнейшей отраслью экономики с точки зрения отчислений в бюджет (налоговая нагрузка в среднем 20% за последние 5 лет) и обеспечения занятостью (почти 300 тыс. чел.).</w:t>
      </w:r>
    </w:p>
    <w:p>
      <w:pPr>
        <w:spacing w:after="60"/>
        <w:ind w:firstLine="567"/>
        <w:jc w:val="both"/>
      </w:pPr>
      <w:r>
        <w:rPr>
          <w:rFonts w:ascii="Arial" w:cs="Arial" w:eastAsia="Arial" w:hAnsi="Arial"/>
          <w:sz w:val="24"/>
          <w:szCs w:val="24"/>
        </w:rPr>
        <w:t xml:space="preserve">Основными направлениями развития промышленности на среднесрочный период в соответствии с разработанной Стратегией устойчивого развития промышленности Кыргызской Республики на 2019-2024 годы являются: создание эффективной системы управления; усиление роли государственных органов, ответственных за промышленную политику, включая укрепление их институционального и кадрового потенциала; улучшение условий доступа к финансам для промышленных предприятий; повышение объемов экспорта отечественной продукции, диверсификация экспорта и рынков для экспорта; содействие промышленному развитию в регионах с учетом международного опыта и специализации каждого региона; развитие эффективности и совершенствование системы высшего и среднего профессионально-технического образования с учетом требований промышленности.</w:t>
      </w:r>
    </w:p>
    <w:p>
      <w:pPr>
        <w:spacing w:after="60"/>
        <w:ind w:firstLine="567"/>
        <w:jc w:val="both"/>
      </w:pPr>
      <w:r>
        <w:rPr>
          <w:rFonts w:ascii="Arial" w:cs="Arial" w:eastAsia="Arial" w:hAnsi="Arial"/>
          <w:sz w:val="24"/>
          <w:szCs w:val="24"/>
        </w:rPr>
        <w:t xml:space="preserve">В настоящее время горная добыча является одной из самых привлекательных сфер для привлечения иностранных инвесторов. Усилия Правительства будут направлены на снижение коррупционных проявлений при предоставлении разрешительных документов, внедрение инструментов преимущественного права на разработку месторождений при инвестировании в разведку месторождений полезных ископаемых. При этом строительство обогатительных фабрик станет одним из реальных инструментов создания цепочек добавленной стоимости на территории страны. Будут предложены меры по устранению конфликтов горнодобывающих предприятий с местным населением и внедрены необходимые требования по экологической безопасности применения недропользователями современных технологий при реализации инвестиционных бизнес-проектов.</w:t>
      </w:r>
    </w:p>
    <w:p>
      <w:pPr>
        <w:spacing w:after="60"/>
        <w:ind w:firstLine="567"/>
        <w:jc w:val="both"/>
      </w:pPr>
      <w:r>
        <w:rPr>
          <w:rFonts w:ascii="Arial" w:cs="Arial" w:eastAsia="Arial" w:hAnsi="Arial"/>
          <w:sz w:val="24"/>
          <w:szCs w:val="24"/>
        </w:rPr>
        <w:t xml:space="preserve">В нефтеперерабатывающем производстве Кыргызской Республики работа будет направлена на привлечение финансовых ресурсов для модернизации отечественных нефтеперерабатывающих предприятий по переходу на производство топлива высоких экологических стандартов качества (К4, К5), а также активизацию деятельности по освоению производственных мощностей нефтеперерабатывающих заводов и увеличению количества добычи нефтепродуктов на территории страны.</w:t>
      </w:r>
    </w:p>
    <w:p>
      <w:pPr>
        <w:spacing w:after="60"/>
        <w:ind w:firstLine="567"/>
        <w:jc w:val="both"/>
      </w:pPr>
      <w:r>
        <w:rPr>
          <w:rFonts w:ascii="Arial" w:cs="Arial" w:eastAsia="Arial" w:hAnsi="Arial"/>
          <w:sz w:val="24"/>
          <w:szCs w:val="24"/>
        </w:rPr>
        <w:t xml:space="preserve">Развитие производства основных металлов будет активизировано за счет ввода в эксплуатацию новых месторождений Джеруй, Чаарат.</w:t>
      </w:r>
    </w:p>
    <w:p>
      <w:pPr>
        <w:spacing w:after="60"/>
        <w:ind w:firstLine="567"/>
        <w:jc w:val="both"/>
      </w:pPr>
      <w:r>
        <w:rPr>
          <w:rFonts w:ascii="Arial" w:cs="Arial" w:eastAsia="Arial" w:hAnsi="Arial"/>
          <w:sz w:val="24"/>
          <w:szCs w:val="24"/>
        </w:rPr>
        <w:t xml:space="preserve">Основными направлениями работы по развитию текстильного и швейного производства будет создание технополиса и кластеров легкой промышленности в регионах страны с объединением производителей сырья и готовой продукции. Кластерный подход направлен на реанимацию отраслей легкой промышленности, в частности текстильной, кожевенной и обувной, с учетом особенностей того или иного региона. Создание двух индустриальных технополисов с полным циклом производства и сбыта швейной продукции позволит создать новые рабочие места.</w:t>
      </w:r>
    </w:p>
    <w:p>
      <w:pPr>
        <w:spacing w:after="60"/>
        <w:ind w:firstLine="567"/>
        <w:jc w:val="both"/>
      </w:pPr>
      <w:r>
        <w:rPr>
          <w:rFonts w:ascii="Arial" w:cs="Arial" w:eastAsia="Arial" w:hAnsi="Arial"/>
          <w:sz w:val="24"/>
          <w:szCs w:val="24"/>
        </w:rPr>
        <w:t xml:space="preserve">Приоритетным направлением работы в промышленном производстве будет создание сборочных производств, привлечение инвестиций в модернизацию действующих и восстановление деятельности простаивающих предприятий, ориентированных на экспорт и/или импортозамещение промышленной продукции.</w:t>
      </w:r>
    </w:p>
    <w:p>
      <w:pPr>
        <w:spacing w:after="60"/>
        <w:ind w:firstLine="567"/>
        <w:jc w:val="both"/>
      </w:pPr>
      <w:r>
        <w:rPr>
          <w:rFonts w:ascii="Arial" w:cs="Arial" w:eastAsia="Arial" w:hAnsi="Arial"/>
          <w:sz w:val="24"/>
          <w:szCs w:val="24"/>
        </w:rPr>
        <w:t xml:space="preserve">В последние годы в связи с возрождением промышленности, активизацией деятельности строительного сектора с преобладанием возведения многоэтажных жилых домов и жилых массивов, развитием инфраструктуры малого и среднего бизнеса, социальных и бытовых городских объектов, существенно повысилось и продолжает расти из года в год потребление электроэнергии. В этой связи планируется ввести в действие новые генерирующие мощности с установленной мощностью 434МВт. Также предусмотрена реконструкция и увеличение мощности существующих подстанций и линий электропередачи, а также строительство новых подстанций и линий электропередачи. Кроме того, предусмотрена установка систем "SCADA" и "АИСКУЭ".</w:t>
      </w:r>
    </w:p>
    <w:p>
      <w:pPr>
        <w:spacing w:after="60"/>
        <w:ind w:firstLine="567"/>
        <w:jc w:val="both"/>
      </w:pPr>
      <w:r>
        <w:rPr>
          <w:rFonts w:ascii="Arial" w:cs="Arial" w:eastAsia="Arial" w:hAnsi="Arial"/>
          <w:sz w:val="24"/>
          <w:szCs w:val="24"/>
        </w:rPr>
        <w:t xml:space="preserve">Предусматривается масштабная реконструкция и модернизация газотранспортных маршрутов Кыргызской Республики, а также объектов подземного хранения и распределения газа в рамках Генеральной схемы газоснабжения и газификации Кыргызской Республики до 2030 года ОсОО "Газпром Кыргызстан". В рамках Генеральной схемы будут созданы мощности для автономной газификации отдельных районов страны.</w:t>
      </w:r>
    </w:p>
    <w:p>
      <w:pPr>
        <w:spacing w:after="60"/>
        <w:ind w:firstLine="567"/>
        <w:jc w:val="both"/>
      </w:pPr>
      <w:r>
        <w:rPr>
          <w:rFonts w:ascii="Arial" w:cs="Arial" w:eastAsia="Arial" w:hAnsi="Arial"/>
          <w:sz w:val="24"/>
          <w:szCs w:val="24"/>
        </w:rPr>
        <w:t xml:space="preserve">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сократить нагрузку на электрические сети в зимний период.</w:t>
      </w:r>
    </w:p>
    <w:p>
      <w:pPr>
        <w:spacing w:after="60"/>
        <w:ind w:firstLine="567"/>
        <w:jc w:val="both"/>
      </w:pPr>
      <w:r>
        <w:rPr>
          <w:rFonts w:ascii="Arial" w:cs="Arial" w:eastAsia="Arial" w:hAnsi="Arial"/>
          <w:sz w:val="24"/>
          <w:szCs w:val="24"/>
        </w:rPr>
        <w:t xml:space="preserve">В условиях функционирования Кыргызской Республики в ЕАЭС чрезвычайно важной задачей для республики является развитие внутренних источников экономического роста путем наращивания, диверсификации и реализации производственного потенциала с максимальным использованием возможностей экономической интеграции в рамках Союза. Данная задача реализуется в рамках Основных направлений промышленного сотрудничества в рамках ЕАЭС, разработанных в соответствии со статьей 92 "Промышленная политика и сотрудничество" Договора о Евразийском экономическом союзе от 29 мая 2014 года.</w:t>
      </w:r>
    </w:p>
    <w:p>
      <w:pPr>
        <w:spacing w:after="60"/>
        <w:ind w:firstLine="567"/>
        <w:jc w:val="both"/>
      </w:pPr>
      <w:r>
        <w:rPr>
          <w:rFonts w:ascii="Arial" w:cs="Arial" w:eastAsia="Arial" w:hAnsi="Arial"/>
          <w:sz w:val="24"/>
          <w:szCs w:val="24"/>
        </w:rPr>
        <w:t xml:space="preserve">В общем объеме промышленной продукции семь отраслей являются экономико- и налогообразующими. В их числе: производство основных металлов и пищепереработка, текстильное и швейное производство,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почти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В промышленности на 2020 год прогнозируется реальный рост объемов производства на 2,3%. Без учета предприятий по разработке месторождения Кумтор, реальный прирост промышленного производства прогнозируется на уровне 5,8%.</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9</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Динамика темпов роста в отраслях промышленности,
 в процентах к предыдущему году</w:t>
      </w:r>
      <w:r>
        <w:rPr>
          <w:rFonts w:ascii="Arial" w:cs="Arial" w:eastAsia="Arial" w:hAnsi="Arial"/>
          <w:sz w:val="24"/>
          <w:szCs w:val="24"/>
        </w:rPr>
        <w:t xml:space="preserve">(10)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74"/>
        <w:gridCol w:w="1116"/>
        <w:gridCol w:w="1189"/>
      </w:tblGrid>
      <w:tr>
        <w:tc>
          <w:tcPr>
            <w:tcW w:type="dxa" w:w="78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всего</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102,3</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bl>
    <w:p>
      <w:pPr>
        <w:spacing w:after="60" w:before="120"/>
        <w:ind w:firstLine="567"/>
        <w:jc w:val="both"/>
      </w:pPr>
      <w:r>
        <w:rPr>
          <w:rFonts w:ascii="Arial" w:cs="Arial" w:eastAsia="Arial" w:hAnsi="Arial"/>
          <w:sz w:val="24"/>
          <w:szCs w:val="24"/>
        </w:rPr>
        <w:t xml:space="preserve">В целом вклад промышленности в рост ВВП составит 0,4 процентных пункта, с удельным весом в объеме ВВП 18,5%.</w:t>
      </w:r>
    </w:p>
    <w:p>
      <w:pPr>
        <w:spacing w:after="60"/>
        <w:ind w:firstLine="567"/>
        <w:jc w:val="both"/>
      </w:pPr>
      <w:r>
        <w:rPr>
          <w:rFonts w:ascii="Arial" w:cs="Arial" w:eastAsia="Arial" w:hAnsi="Arial"/>
          <w:sz w:val="24"/>
          <w:szCs w:val="24"/>
        </w:rPr>
        <w:t xml:space="preserve">1) В обрабатывающем производстве, с самым высоким удельным весом (75,7%) в производстве промышленной продукции, в 2020 году прогнозируется реальный рост на 1,9%, который обусловлен, в основном, за счет:</w:t>
      </w:r>
    </w:p>
    <w:p>
      <w:pPr>
        <w:spacing w:after="60"/>
        <w:ind w:firstLine="567"/>
        <w:jc w:val="both"/>
      </w:pPr>
      <w:r>
        <w:rPr>
          <w:rFonts w:ascii="Arial" w:cs="Arial" w:eastAsia="Arial" w:hAnsi="Arial"/>
          <w:sz w:val="24"/>
          <w:szCs w:val="24"/>
        </w:rPr>
        <w:t xml:space="preserve">- реального роста производства продуктов (включая напитки) (удельный вес в общем объеме промышленности 11,7%), где прогнозируется прирост на 5,7% за счет устойчивой работы предприятий по производству хлеба, муки, молочных и мясных продуктов и других продуктов питания, на которые наблюдается стабильный спрос;</w:t>
      </w:r>
    </w:p>
    <w:p>
      <w:pPr>
        <w:spacing w:after="60"/>
        <w:ind w:firstLine="567"/>
        <w:jc w:val="both"/>
      </w:pPr>
      <w:r>
        <w:rPr>
          <w:rFonts w:ascii="Arial" w:cs="Arial" w:eastAsia="Arial" w:hAnsi="Arial"/>
          <w:sz w:val="24"/>
          <w:szCs w:val="24"/>
        </w:rPr>
        <w:t xml:space="preserve">- роста объемов текстильного производства; производства одежды и обуви, кожи и прочих кожаных изделий (удельный вес в общем объеме промышленности - 4,1%) на 8,0% за счет швейной отрасли, в связи с освоением новых рынков сбыта (рынки государств-членов ЕАЭС), запуска новых предприятий и увеличения экспортных поставок. Планируется проведение мероприятий по реализации инвестиционных проектов общества с ограниченной ответственностью (далее - ОсОО) "Кыргыз Текстиль ЛТД" (гор. Ош), ОсОО "Индустриальный парк "Силк Вей" (Чуйская область), расширение производства ОсОО "Империал Групп" (Чуйская область) и ОсОО "Текстиль Транс" (Чуйская область), где предусматривается создание новых рабочих мест;</w:t>
      </w:r>
    </w:p>
    <w:p>
      <w:pPr>
        <w:spacing w:after="60"/>
        <w:ind w:firstLine="567"/>
        <w:jc w:val="both"/>
      </w:pPr>
      <w:r>
        <w:rPr>
          <w:rFonts w:ascii="Arial" w:cs="Arial" w:eastAsia="Arial" w:hAnsi="Arial"/>
          <w:sz w:val="24"/>
          <w:szCs w:val="24"/>
        </w:rPr>
        <w:t xml:space="preserve">- прироста производства строительных материалов на 4,0% за счет устойчивой производственной деятельности открытого акционерного общества (далее - ОАО) "Интергласс", увеличения объема производства цемента за счет вновь введенных предприятий (Цементный завод ОсОО "Син-Дзи-Прим"; ОсОО "Южный комбинат строительных материалов"), полной реализации инвестиционных проектов в строительстве, а также планируемого запуска в конце 2019 года Кара-Кульского цементного завода ОсОО "Шамшыкал-Ата", мощностью 1300 тыс. тонн цемента/год;</w:t>
      </w:r>
    </w:p>
    <w:p>
      <w:pPr>
        <w:spacing w:after="60"/>
        <w:ind w:firstLine="567"/>
        <w:jc w:val="both"/>
      </w:pPr>
      <w:r>
        <w:rPr>
          <w:rFonts w:ascii="Arial" w:cs="Arial" w:eastAsia="Arial" w:hAnsi="Arial"/>
          <w:sz w:val="24"/>
          <w:szCs w:val="24"/>
        </w:rPr>
        <w:t xml:space="preserve">- устойчивой работы предприятий по производству электрического оборудования и машин (прирост на 3,0%), деревянных и бумажных изделий; полиграфической деятельности (на 2,2%), фармацевтической продукции (на 8,5%), резиновых и пластмассовых изделий (на 10,0%), компьютеров, электронного и оптического оборудования (на 3,0%), транспортных средств (на 2,0%) и т.д.;</w:t>
      </w:r>
    </w:p>
    <w:p>
      <w:pPr>
        <w:spacing w:after="60"/>
        <w:ind w:firstLine="567"/>
        <w:jc w:val="both"/>
      </w:pPr>
      <w:r>
        <w:rPr>
          <w:rFonts w:ascii="Arial" w:cs="Arial" w:eastAsia="Arial" w:hAnsi="Arial"/>
          <w:sz w:val="24"/>
          <w:szCs w:val="24"/>
        </w:rPr>
        <w:t xml:space="preserve">- наращивания объемов производства основного металла на месторождении Талды-Булак Левобережный, где запланирован рост на 4,4%;</w:t>
      </w:r>
    </w:p>
    <w:p>
      <w:pPr>
        <w:spacing w:after="60"/>
        <w:ind w:firstLine="567"/>
        <w:jc w:val="both"/>
      </w:pPr>
      <w:r>
        <w:rPr>
          <w:rFonts w:ascii="Arial" w:cs="Arial" w:eastAsia="Arial" w:hAnsi="Arial"/>
          <w:sz w:val="24"/>
          <w:szCs w:val="24"/>
        </w:rPr>
        <w:t xml:space="preserve">- ввода в эксплуатацию месторождения Джеруй, где будут произведены первые объемы производства основных металлов;</w:t>
      </w:r>
    </w:p>
    <w:p>
      <w:pPr>
        <w:spacing w:after="60"/>
        <w:ind w:firstLine="567"/>
        <w:jc w:val="both"/>
      </w:pPr>
      <w:r>
        <w:rPr>
          <w:rFonts w:ascii="Arial" w:cs="Arial" w:eastAsia="Arial" w:hAnsi="Arial"/>
          <w:sz w:val="24"/>
          <w:szCs w:val="24"/>
        </w:rPr>
        <w:t xml:space="preserve">- наращивания объемов производства на месторождении Чаарат, где рост объемов производства основных металлов прогнозируется почти в 2 раза по сравнению с 2019 годом;</w:t>
      </w:r>
    </w:p>
    <w:p>
      <w:pPr>
        <w:spacing w:after="60"/>
        <w:ind w:firstLine="567"/>
        <w:jc w:val="both"/>
      </w:pPr>
      <w:r>
        <w:rPr>
          <w:rFonts w:ascii="Arial" w:cs="Arial" w:eastAsia="Arial" w:hAnsi="Arial"/>
          <w:sz w:val="24"/>
          <w:szCs w:val="24"/>
        </w:rPr>
        <w:t xml:space="preserve">- наращивания объемов производства нефтеперерабатывающего завода (далее - НПЗ) "Джунда", Токмакского НПЗ, Джалал-Абадского НПЗ за счет освоения их производственной мощности, где прогнозируется рост на 5,4%.</w:t>
      </w:r>
    </w:p>
    <w:p>
      <w:pPr>
        <w:spacing w:after="60"/>
        <w:ind w:firstLine="567"/>
        <w:jc w:val="both"/>
      </w:pPr>
      <w:r>
        <w:rPr>
          <w:rFonts w:ascii="Arial" w:cs="Arial" w:eastAsia="Arial" w:hAnsi="Arial"/>
          <w:sz w:val="24"/>
          <w:szCs w:val="24"/>
        </w:rPr>
        <w:t xml:space="preserve">При этом, на месторождении Кумтор прогнозируется снижение объема производства основных металлов по сравнению с 2019 годом согласно производственному плану предприятия на 2,7 процентных пункта.</w:t>
      </w:r>
    </w:p>
    <w:p>
      <w:pPr>
        <w:spacing w:after="60"/>
        <w:ind w:firstLine="567"/>
        <w:jc w:val="both"/>
      </w:pPr>
      <w:r>
        <w:rPr>
          <w:rFonts w:ascii="Arial" w:cs="Arial" w:eastAsia="Arial" w:hAnsi="Arial"/>
          <w:sz w:val="24"/>
          <w:szCs w:val="24"/>
        </w:rPr>
        <w:t xml:space="preserve">Также прогнозируется уменьшение объемов производства на ОАО "Кыргызалтын", где за последние годы наблюдается устойчивое снижение объемов добычи по сравнению с 2013 годом, когда был обеспечен наибольший объем добычи золота. Это связано с истощением детально разведанных промышленных запасов золота на месторождении Макмал, где полностью отработаны запасы, сосредоточенные на горизонтах штолен № 6 и 11. С 2020 по 2022 годы производство на предприятии не планируется в связи с тем, что в настоящее время идут работы по созданию совместного предприятия на базе филиала Комбинат "Макмалзолото" с потенциальным инвестором.</w:t>
      </w:r>
    </w:p>
    <w:p>
      <w:pPr>
        <w:spacing w:after="60"/>
        <w:ind w:firstLine="567"/>
        <w:jc w:val="both"/>
      </w:pPr>
      <w:r>
        <w:rPr>
          <w:rFonts w:ascii="Arial" w:cs="Arial" w:eastAsia="Arial" w:hAnsi="Arial"/>
          <w:sz w:val="24"/>
          <w:szCs w:val="24"/>
        </w:rPr>
        <w:t xml:space="preserve">2) В добыче полезных ископаемых (удельный вес 8,1% в объеме промышленного производства) в 2020 году прирост объема производства прогнозируется на уровне 2,7%, в том числе добыча каменного и бурого угля увеличится на 5,0%, металлических руд - на 2,4%, сырой нефти и природного газа - на 1,9%.</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следующих мер:</w:t>
      </w:r>
    </w:p>
    <w:p>
      <w:pPr>
        <w:spacing w:after="60"/>
        <w:ind w:firstLine="567"/>
        <w:jc w:val="both"/>
      </w:pPr>
      <w:r>
        <w:rPr>
          <w:rFonts w:ascii="Arial" w:cs="Arial" w:eastAsia="Arial" w:hAnsi="Arial"/>
          <w:sz w:val="24"/>
          <w:szCs w:val="24"/>
        </w:rPr>
        <w:t xml:space="preserve">- применение технологий горизонтального бурения скважин и интенсификации скважин;</w:t>
      </w:r>
    </w:p>
    <w:p>
      <w:pPr>
        <w:spacing w:after="60"/>
        <w:ind w:firstLine="567"/>
        <w:jc w:val="both"/>
      </w:pPr>
      <w:r>
        <w:rPr>
          <w:rFonts w:ascii="Arial" w:cs="Arial" w:eastAsia="Arial" w:hAnsi="Arial"/>
          <w:sz w:val="24"/>
          <w:szCs w:val="24"/>
        </w:rPr>
        <w:t xml:space="preserve">- разработка </w:t>
      </w:r>
      <w:r>
        <w:rPr>
          <w:rFonts w:ascii="Arial" w:cs="Arial" w:eastAsia="Arial" w:hAnsi="Arial"/>
          <w:sz w:val="24"/>
          <w:szCs w:val="24"/>
        </w:rPr>
        <w:t xml:space="preserve">III</w:t>
      </w:r>
      <w:r>
        <w:rPr>
          <w:rFonts w:ascii="Arial" w:cs="Arial" w:eastAsia="Arial" w:hAnsi="Arial"/>
          <w:sz w:val="24"/>
          <w:szCs w:val="24"/>
        </w:rPr>
        <w:t xml:space="preserve">-го пласта нефтегазового месторождения Майлу-Суу IV - Восточный Избаскент с бурением новых скважин;</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Иштамберди, Кара-Казык;</w:t>
      </w:r>
    </w:p>
    <w:p>
      <w:pPr>
        <w:spacing w:after="60"/>
        <w:ind w:firstLine="567"/>
        <w:jc w:val="both"/>
      </w:pPr>
      <w:r>
        <w:rPr>
          <w:rFonts w:ascii="Arial" w:cs="Arial" w:eastAsia="Arial" w:hAnsi="Arial"/>
          <w:sz w:val="24"/>
          <w:szCs w:val="24"/>
        </w:rPr>
        <w:t xml:space="preserve">- дальнейшее развитие мощностей предприятий, разрабатывающих Кавакское буроугольное месторождение, в том числе Кара-Кече и Мин-Куш, расположенных в Нарынской области Кыргызской Республики, с привлечением инвестиций на разработку участка "Центральный" филиала ГП "Кыргызкомур", а также перспективных предприятий этого региона, в целях наращивания объемов поставок кыргызского угля мелких фракций (штыбов) для использования на ТЭЦ гор. Бишкек;</w:t>
      </w:r>
    </w:p>
    <w:p>
      <w:pPr>
        <w:spacing w:after="60"/>
        <w:ind w:firstLine="567"/>
        <w:jc w:val="both"/>
      </w:pPr>
      <w:r>
        <w:rPr>
          <w:rFonts w:ascii="Arial" w:cs="Arial" w:eastAsia="Arial" w:hAnsi="Arial"/>
          <w:sz w:val="24"/>
          <w:szCs w:val="24"/>
        </w:rPr>
        <w:t xml:space="preserve">- развитие горно-добычных работ на действующих угольных предприятиях северного и южного регионов за счет привлечения инвестиций в модернизацию, и обновление горно-шахтного оборудования, а также увеличения экспорта в соседние страны (Китай, Узбекистан и Таджикистан);</w:t>
      </w:r>
    </w:p>
    <w:p>
      <w:pPr>
        <w:spacing w:after="60"/>
        <w:ind w:firstLine="567"/>
        <w:jc w:val="both"/>
      </w:pPr>
      <w:r>
        <w:rPr>
          <w:rFonts w:ascii="Arial" w:cs="Arial" w:eastAsia="Arial" w:hAnsi="Arial"/>
          <w:sz w:val="24"/>
          <w:szCs w:val="24"/>
        </w:rPr>
        <w:t xml:space="preserve">- сохранение достигнутых объемов добычи и поставки угля бюджетным потребителям, населению республики, а также развивающимся промышленным предприятиям для использования в технологических целях, в частности, цементным предприятиям южного региона;</w:t>
      </w:r>
    </w:p>
    <w:p>
      <w:pPr>
        <w:spacing w:after="60"/>
        <w:ind w:firstLine="567"/>
        <w:jc w:val="both"/>
      </w:pPr>
      <w:r>
        <w:rPr>
          <w:rFonts w:ascii="Arial" w:cs="Arial" w:eastAsia="Arial" w:hAnsi="Arial"/>
          <w:sz w:val="24"/>
          <w:szCs w:val="24"/>
        </w:rPr>
        <w:t xml:space="preserve">- усиление вскрышных работ на участке "Центральный" за счет привлечения дополнительной горно-транспортной техники и оборудования, что позволит обеспечить своевременное вскрытие угольного пласта и ритмичную поставку твердого топлива потребителям.</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15,0%) на 2020 год прогнозируется прирост объемов на 4,0%.</w:t>
      </w:r>
    </w:p>
    <w:p>
      <w:pPr>
        <w:spacing w:after="60"/>
        <w:ind w:firstLine="567"/>
        <w:jc w:val="both"/>
      </w:pPr>
      <w:r>
        <w:rPr>
          <w:rFonts w:ascii="Arial" w:cs="Arial" w:eastAsia="Arial" w:hAnsi="Arial"/>
          <w:sz w:val="24"/>
          <w:szCs w:val="24"/>
        </w:rPr>
        <w:t xml:space="preserve">Выработка электроэнергии на 2020 год прогнозируется в объеме 15986,2 млн. кВтч, что больше на 649,9 млн. кВтч по сравнению с 2019 годом или на 4,2%, которая рассчитана с учетом среднемноголетней приточности реки Нарын в створе Токтогульского гидроузла. При этом, выработка на ТЭЦ гор. Бишкек составит 1358,8 млн. кВтч и возрастет на 56,6 млн. кВтч по сравнению с 2019 годом. Выработка электроэнергии на ГЭС возрастет на 593,36 млн. кВтч. Рост вызван вероятным увеличением потребления электроэнергии на внутреннем рынке.</w:t>
      </w:r>
    </w:p>
    <w:p>
      <w:pPr>
        <w:spacing w:after="60"/>
        <w:ind w:firstLine="567"/>
        <w:jc w:val="both"/>
      </w:pPr>
      <w:r>
        <w:rPr>
          <w:rFonts w:ascii="Arial" w:cs="Arial" w:eastAsia="Arial" w:hAnsi="Arial"/>
          <w:sz w:val="24"/>
          <w:szCs w:val="24"/>
        </w:rPr>
        <w:t xml:space="preserve">В предстоящий период продолжится работа по снижению потерь электроэнергии в электрических сетях. В распределительных электроэнергетических компаниях ожидается устойчивое снижение потерь с 12,7% - в 2018 году до 12,1% - к 2020 году. Будет проводиться работа по замене электрооборудования и установке современных систем контроля и учета электроэнергии. Выработка тепловой энергии составит 2950 тыс. Гкал и зависит от климатических условий прогнозируемого периода.</w:t>
      </w:r>
    </w:p>
    <w:p>
      <w:pPr>
        <w:spacing w:after="60"/>
        <w:ind w:firstLine="567"/>
        <w:jc w:val="both"/>
      </w:pPr>
      <w:r>
        <w:rPr>
          <w:rFonts w:ascii="Arial" w:cs="Arial" w:eastAsia="Arial" w:hAnsi="Arial"/>
          <w:sz w:val="24"/>
          <w:szCs w:val="24"/>
        </w:rPr>
        <w:t xml:space="preserve">Предусматривается масштабная реконструкция и модернизация газотранспортных маршрутов Кыргызской Республики, а также объектов подземного хранения и распределения газа в рамках Генеральной схемы газоснабжения и газификации Кыргызской Республики до 2030 года ОсОО "Газпром Кыргызстан". Всего в 2020 году увеличение поступления природного газа в Кыргызскую Республику прогнозируется на уровне 7,3% по сравнению с 2019 годом, что позволит увеличить объем услуг по распределению газообразного топлива через системы газоснабжения на 6,3%.</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имеют незначительный удельный вес (1,1%), прогнозируется реальный рост на уровне 5,9% за счет роста объемов сбора, обработки и распределения воды (водоснабжение) на 6,0%, сбора, обработки и уничтожения отходов, получения вторичного сырья - на 6,0% и проведения обеззараживания и прочей обработки отходов - на 5,0%.</w:t>
      </w:r>
    </w:p>
    <w:p>
      <w:pPr>
        <w:spacing w:after="60"/>
        <w:ind w:firstLine="567"/>
        <w:jc w:val="both"/>
      </w:pPr>
      <w:r>
        <w:rPr>
          <w:rFonts w:ascii="Arial" w:cs="Arial" w:eastAsia="Arial" w:hAnsi="Arial"/>
          <w:sz w:val="24"/>
          <w:szCs w:val="24"/>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золотодобывающих предприятий (доля в промышленности около 40%), а также неустойчивой работы энергетической отрасли (доля в промышленности 15%) из-за влияния природно-климатического фактора.</w:t>
      </w:r>
    </w:p>
    <w:p>
      <w:pPr>
        <w:spacing w:after="60"/>
        <w:ind w:firstLine="567"/>
        <w:jc w:val="both"/>
      </w:pPr>
      <w:r>
        <w:rPr>
          <w:rFonts w:ascii="Arial" w:cs="Arial" w:eastAsia="Arial" w:hAnsi="Arial"/>
          <w:sz w:val="24"/>
          <w:szCs w:val="24"/>
        </w:rPr>
        <w:t xml:space="preserve">Возможными рисками, которые могут привести к недостижению заложенных показателей в отрасли промышленности, являются: инвестиционная непривлекательность предприятий промышленной отрасли из-за непредсказуемости бизнес-среды (конфликты местного населения с инвесторами, отсталые технологии, низкий уровень рентабельности, процедуры предоставления земельных участков под недропользование, оформление документов усложнены и требуют многочисленных согласований, экспертиз и т.д.); перебои в подаче электроэнергии; несвоевременный ввод запланированных месторождений, невыполнение заложенных ожидаемых объемов добычи на руднике Кумтор и сокращение производства на руднике Кумтор из-за техногенных факторов; необеспеченность сырьем действующих нефтеперерабатывающих предприятий; перебои в обеспечении источниками финансирования запланированных капитальных вложений в энергетике; недостаток квалифицированных кадров технических специальностей; неэффективный менеджмент и недостаток оборотных средств и т.д.</w:t>
      </w:r>
    </w:p>
    <w:p>
      <w:pPr>
        <w:spacing w:after="60" w:before="200"/>
        <w:ind w:firstLine="567"/>
        <w:jc w:val="left"/>
      </w:pPr>
      <w:r>
        <w:rPr>
          <w:rFonts w:ascii="Arial" w:cs="Arial" w:eastAsia="Arial" w:hAnsi="Arial"/>
          <w:b/>
          <w:bCs/>
          <w:sz w:val="24"/>
          <w:szCs w:val="24"/>
        </w:rPr>
        <w:t xml:space="preserve">Строительство</w:t>
      </w:r>
    </w:p>
    <w:p>
      <w:pPr>
        <w:spacing w:after="60"/>
        <w:ind w:firstLine="567"/>
        <w:jc w:val="both"/>
      </w:pPr>
      <w:r>
        <w:rPr>
          <w:rFonts w:ascii="Arial" w:cs="Arial" w:eastAsia="Arial" w:hAnsi="Arial"/>
          <w:sz w:val="24"/>
          <w:szCs w:val="24"/>
        </w:rPr>
        <w:t xml:space="preserve">В 2020 году развитие строительной отрасли станет одним из значимых направлений, обеспечивающих устойчивый рост национальной экономики за счет реализации крупных инвестиционных проектов. В результате принятия комплексных мер развития в строительном комплексе страны прогнозируется увеличение капитальных вложений на 8,0%, объемы составят 189,2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строительной отрасли на 2019-2020 годы</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0"/>
        <w:gridCol w:w="1387"/>
        <w:gridCol w:w="1387"/>
        <w:gridCol w:w="1387"/>
        <w:gridCol w:w="1387"/>
      </w:tblGrid>
      <w:tr>
        <w:tc>
          <w:tcPr>
            <w:tcW w:type="dxa" w:w="46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27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vMerge w:val="continue"/>
            <w:tcBorders>
              <w:top w:val="single" w:color="CBBF9E" w:sz="4"/>
              <w:left w:val="single" w:color="CBBF9E" w:sz="4"/>
              <w:bottom w:val="single" w:color="CBBF9E" w:sz="4"/>
              <w:right w:val="single" w:color="CBBF9E" w:sz="4"/>
            </w:tcBorders>
          </w:tcP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172704,5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189202,3</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119010,9</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133965,4</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53693,6</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55506,9</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169128,2</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188250,8</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2019 году, изменится в сторону увеличения доли внутренних инвестиций, с 68,9% до 70,7% (основную долю занимают средства предприятий, организаций и населения, составляющие 89,8%), и снижения доли внешних инвестиций, с 31,1% до 29,3%.</w:t>
      </w:r>
    </w:p>
    <w:p>
      <w:pPr>
        <w:spacing w:after="60"/>
        <w:ind w:firstLine="567"/>
        <w:jc w:val="both"/>
      </w:pPr>
      <w:r>
        <w:rPr>
          <w:rFonts w:ascii="Arial" w:cs="Arial" w:eastAsia="Arial" w:hAnsi="Arial"/>
          <w:sz w:val="24"/>
          <w:szCs w:val="24"/>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Ожидается поступление капитальных вложений за счет средств государственного бюджета в сумме 3800 млн. сомов, которые в первую очередь будут направлены на завершение строительства объектов высокой строительной готовности, реконструкцию объектов образования, пострадавших от стихийных бедствий, а также аварийные объекты.</w:t>
      </w:r>
    </w:p>
    <w:p>
      <w:pPr>
        <w:spacing w:after="6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61,2 млрд. сомов будут сформированы за счет инвестиций закрытого акционерного общества (далее - ЗАО) "Кумтор Голд компани" (19344,2 млн. сомов) и др.</w:t>
      </w:r>
    </w:p>
    <w:p>
      <w:pPr>
        <w:spacing w:after="60"/>
        <w:ind w:firstLine="567"/>
        <w:jc w:val="both"/>
      </w:pPr>
      <w:r>
        <w:rPr>
          <w:rFonts w:ascii="Arial" w:cs="Arial" w:eastAsia="Arial" w:hAnsi="Arial"/>
          <w:sz w:val="24"/>
          <w:szCs w:val="24"/>
        </w:rPr>
        <w:t xml:space="preserve">В 2020 году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энергетики - всего в размере 11388,1 млн. сомов (около 30,0% от всех государственных инвестиций), которые ожидаются за счет реализации проектов: "Реконструкция Атбашинской ГЭС" (Швейцария, 376,3 млн. сомов); "CASA-1000" (Всемирный банк, Европейский инвестиционный банк, Исламский банк развития, 6679,9 млн. сомов); "Повышение подотчетности и надежности электроснабжения" (Всемирный банк, 1,0 млн. сомов); "Улучшение электроснабжения Аркинского массива Лейлекского района Баткенской области (Исламский банк развития, 126,9 млн. сомов); "Ввод второго агрегата Камбаратинской ГЭС-2" (Евразийский банк развития, 239,5 млн. сомов); "Вторая и третья фазы реабилитации Токтогульской ГЭС" (Азиатский банк развития, Евразийский банк развития, 2862,0 млн. сомов); "Проект улучшения теплоснабжения" (Всемирный банк, 506,4 млн. сомов); "Реконструкция и строительство насосных станций" (Европейский банк реконструкции и развития, 321,4 млн. сомов)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w:t>
      </w:r>
    </w:p>
    <w:p>
      <w:pPr>
        <w:spacing w:after="60"/>
        <w:ind w:firstLine="567"/>
        <w:jc w:val="both"/>
      </w:pPr>
      <w:r>
        <w:rPr>
          <w:rFonts w:ascii="Arial" w:cs="Arial" w:eastAsia="Arial" w:hAnsi="Arial"/>
          <w:sz w:val="24"/>
          <w:szCs w:val="24"/>
        </w:rPr>
        <w:t xml:space="preserve">В секторе транспорта объемы финансирования предусмотрены в сумме 15021,4 млн. сомов (около 30,0% от всех государственных инвестиций), которые ожидаются за счет реализации проектов: "Реабилитация автомобильной дороги "Ош-Баткен-Исфана" (Исламский банк развития, 423,0 млн. сомов); "Строительство альтернативной автодороги Север-Юг, км 159-183" (Исламский банк развития, Саудовский фонд развития, 599,3 млн. сомов); "Улучшение коридора ЦАРЭС 3 Фаза 4" (Центрально-Азиатское региональное экономическое сотрудничество) (автодорога Бишкек-Ош, участок Бишкек-Кара-Балта) (Азиатский банк развития, 1377,8 млн. сомов); проект "Реконструкции автомобильной дороги "Бишкек-Ош", Фаза 4", (Антикризисный фонд Евразийского банка развития (участок Маданият-Джалал-Абад, протяженностью 67 км, 1745,2 млн. сомов); "Строительство альтернативной дороги "Север-Юг Фаза 1 и Фаза 2" (Китайская Народная Республика, 7746,4 млн. сомов); проект "Соединительной дороги, коридоры ЦАРЭС 1 и 3" (участок 89-159 км, от с.Эпкин до с.Башкууганды) (Азиатский банк развития, 932,4 млн. сомов); проект "Соединительной дороги, коридоры ЦАРЭС 1 и 3, Фаза 2 - Дополнительное финансирование" (Участки гор. Балыкчы, 0-43 км; с.Кочкор - с.Эпкин, 64-89 км), (Азиатский банк развития, 412,3 млн. сомов); "Улучшение основных международных дорог" (Japan International Cooperation Agency, 1103,5 млн. сомов); Проект "Противолавинная защита автодороги Бишкек-Ош" (Japan International Cooperation Agency, 681,5 млн. сомов); и других, которые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4"/>
          <w:szCs w:val="24"/>
        </w:rPr>
        <w:t xml:space="preserve">Объемы прямых иностранных инвестиций в сумме 15,5 млрд. сомов прогнозируются за счет капитальных вложений:</w:t>
      </w:r>
    </w:p>
    <w:p>
      <w:pPr>
        <w:spacing w:after="60"/>
        <w:ind w:firstLine="567"/>
        <w:jc w:val="both"/>
      </w:pPr>
      <w:r>
        <w:rPr>
          <w:rFonts w:ascii="Arial" w:cs="Arial" w:eastAsia="Arial" w:hAnsi="Arial"/>
          <w:sz w:val="24"/>
          <w:szCs w:val="24"/>
        </w:rPr>
        <w:t xml:space="preserve">- ОсОО "Каз Минералз Бозымчак" (1329,8 млн. сомов);</w:t>
      </w:r>
    </w:p>
    <w:p>
      <w:pPr>
        <w:spacing w:after="60"/>
        <w:ind w:firstLine="567"/>
        <w:jc w:val="both"/>
      </w:pPr>
      <w:r>
        <w:rPr>
          <w:rFonts w:ascii="Arial" w:cs="Arial" w:eastAsia="Arial" w:hAnsi="Arial"/>
          <w:sz w:val="24"/>
          <w:szCs w:val="24"/>
        </w:rPr>
        <w:t xml:space="preserve">- ОсОО "Фул Голд Майнинг" (250,0 млн. сомов);</w:t>
      </w:r>
    </w:p>
    <w:p>
      <w:pPr>
        <w:spacing w:after="60"/>
        <w:ind w:firstLine="567"/>
        <w:jc w:val="both"/>
      </w:pPr>
      <w:r>
        <w:rPr>
          <w:rFonts w:ascii="Arial" w:cs="Arial" w:eastAsia="Arial" w:hAnsi="Arial"/>
          <w:sz w:val="24"/>
          <w:szCs w:val="24"/>
        </w:rPr>
        <w:t xml:space="preserve">- ОАО "Альянс Алтын" (3371,5 млн. сомов);</w:t>
      </w:r>
    </w:p>
    <w:p>
      <w:pPr>
        <w:spacing w:after="60"/>
        <w:ind w:firstLine="567"/>
        <w:jc w:val="both"/>
      </w:pPr>
      <w:r>
        <w:rPr>
          <w:rFonts w:ascii="Arial" w:cs="Arial" w:eastAsia="Arial" w:hAnsi="Arial"/>
          <w:sz w:val="24"/>
          <w:szCs w:val="24"/>
        </w:rPr>
        <w:t xml:space="preserve">- ОсОО "Газпром Кыргызстан" (4095 млн. сомов) и др.</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2020 году прогнозируется на уровне 10,1% и составит 188,3 млрд. сомов. Влияние строительной отрасли на темпы экономического роста будет положительным и составит 0,92 процентных пункта, удельный вес строительства в структуре производства ВВП - 9,5%.</w:t>
      </w:r>
    </w:p>
    <w:p>
      <w:pPr>
        <w:spacing w:after="60"/>
        <w:ind w:firstLine="567"/>
        <w:jc w:val="both"/>
      </w:pPr>
      <w:r>
        <w:rPr>
          <w:rFonts w:ascii="Arial" w:cs="Arial" w:eastAsia="Arial" w:hAnsi="Arial"/>
          <w:sz w:val="24"/>
          <w:szCs w:val="24"/>
        </w:rPr>
        <w:t xml:space="preserve">В региональном разрезе рост объемов строительства ожидается во всех регионах за счет реализации инвестиционных проектов в транспортной, горнодобывающей и энергетической отраслях. Основную долю будут занимать гор. Бишкек (39%), Чуйская (14,6%), Джалал-Абадская (17%) и Иссык-Кульская (12,9%) области, суммарный вклад которых в развитие строительной отрасли составит 7,71 процентных пункта.</w:t>
      </w:r>
    </w:p>
    <w:p>
      <w:pPr>
        <w:spacing w:after="60"/>
        <w:ind w:firstLine="567"/>
        <w:jc w:val="both"/>
      </w:pPr>
      <w:r>
        <w:rPr>
          <w:rFonts w:ascii="Arial" w:cs="Arial" w:eastAsia="Arial" w:hAnsi="Arial"/>
          <w:sz w:val="24"/>
          <w:szCs w:val="24"/>
        </w:rPr>
        <w:t xml:space="preserve">При этом следует принять во внимание факторы, которые влияют на развитие строительной отрасли экономики. Основная часть притока денежных переводов поступает из России (более 90%), поэтому рост притока данных средств может привести к увеличению объемов строительной отрасли в регионах с большой долей мигрантов.</w:t>
      </w:r>
    </w:p>
    <w:p>
      <w:pPr>
        <w:spacing w:after="60"/>
        <w:ind w:firstLine="567"/>
        <w:jc w:val="both"/>
      </w:pPr>
      <w:r>
        <w:rPr>
          <w:rFonts w:ascii="Arial" w:cs="Arial" w:eastAsia="Arial" w:hAnsi="Arial"/>
          <w:sz w:val="24"/>
          <w:szCs w:val="24"/>
        </w:rPr>
        <w:t xml:space="preserve">При этом присутствуют риски, которые могут оказать негативный эффект на развитие строительства и могут привести к недостижению прогнозируемых показателей:</w:t>
      </w:r>
    </w:p>
    <w:p>
      <w:pPr>
        <w:spacing w:after="60"/>
        <w:ind w:firstLine="567"/>
        <w:jc w:val="both"/>
      </w:pPr>
      <w:r>
        <w:rPr>
          <w:rFonts w:ascii="Arial" w:cs="Arial" w:eastAsia="Arial" w:hAnsi="Arial"/>
          <w:sz w:val="24"/>
          <w:szCs w:val="24"/>
        </w:rPr>
        <w:t xml:space="preserve">- несвоевременное и в недостаточном объеме открытие финансирования запланированных объемов капитальных вложений;</w:t>
      </w:r>
    </w:p>
    <w:p>
      <w:pPr>
        <w:spacing w:after="60"/>
        <w:ind w:firstLine="567"/>
        <w:jc w:val="both"/>
      </w:pPr>
      <w:r>
        <w:rPr>
          <w:rFonts w:ascii="Arial" w:cs="Arial" w:eastAsia="Arial" w:hAnsi="Arial"/>
          <w:sz w:val="24"/>
          <w:szCs w:val="24"/>
        </w:rPr>
        <w:t xml:space="preserve">- снижение капитальных вложений, финансируемых за счет средств населения, из-за ухудшения платежеспособности населения, вследствие чего уменьшение объемов жилищного строительства за счет средств населения;</w:t>
      </w:r>
    </w:p>
    <w:p>
      <w:pPr>
        <w:spacing w:after="60"/>
        <w:ind w:firstLine="567"/>
        <w:jc w:val="both"/>
      </w:pPr>
      <w:r>
        <w:rPr>
          <w:rFonts w:ascii="Arial" w:cs="Arial" w:eastAsia="Arial" w:hAnsi="Arial"/>
          <w:sz w:val="24"/>
          <w:szCs w:val="24"/>
        </w:rPr>
        <w:t xml:space="preserve">- 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60"/>
        <w:ind w:firstLine="567"/>
        <w:jc w:val="both"/>
      </w:pPr>
      <w:r>
        <w:rPr>
          <w:rFonts w:ascii="Arial" w:cs="Arial" w:eastAsia="Arial" w:hAnsi="Arial"/>
          <w:sz w:val="24"/>
          <w:szCs w:val="24"/>
        </w:rPr>
        <w:t xml:space="preserve">- сокращение иностранных кредитов, иностранных грантов и гуманитарной помощи из-за возможных перебоев в финансировании части крупных инвестиционных проектов.</w:t>
      </w:r>
    </w:p>
    <w:p>
      <w:pPr>
        <w:spacing w:after="60"/>
        <w:ind w:firstLine="567"/>
        <w:jc w:val="both"/>
      </w:pPr>
      <w:r>
        <w:rPr>
          <w:rFonts w:ascii="Arial" w:cs="Arial" w:eastAsia="Arial" w:hAnsi="Arial"/>
          <w:sz w:val="24"/>
          <w:szCs w:val="24"/>
        </w:rPr>
        <w:t xml:space="preserve">Вышеизложенные предпосылки могут привести к: снижению объемов производства и инвестиций в основной капитал; приостановке строительства объектов; несвоевременному вводу в эксплуатацию жилья и т.д.</w:t>
      </w:r>
    </w:p>
    <w:p>
      <w:pPr>
        <w:spacing w:after="60" w:before="200"/>
        <w:ind w:firstLine="567"/>
        <w:jc w:val="left"/>
      </w:pPr>
      <w:r>
        <w:rPr>
          <w:rFonts w:ascii="Arial" w:cs="Arial" w:eastAsia="Arial" w:hAnsi="Arial"/>
          <w:b/>
          <w:bCs/>
          <w:sz w:val="24"/>
          <w:szCs w:val="24"/>
        </w:rPr>
        <w:t xml:space="preserve">Сфера услуг</w:t>
      </w:r>
    </w:p>
    <w:p>
      <w:pPr>
        <w:spacing w:after="60"/>
        <w:ind w:firstLine="567"/>
        <w:jc w:val="both"/>
      </w:pPr>
      <w:r>
        <w:rPr>
          <w:rFonts w:ascii="Arial" w:cs="Arial" w:eastAsia="Arial" w:hAnsi="Arial"/>
          <w:sz w:val="24"/>
          <w:szCs w:val="24"/>
        </w:rPr>
        <w:t xml:space="preserve">Меры, предусмотренные Программой развития Кыргызской Республики, а также реализация программ Правительства Кыргызской Республики (в частности, Программа Правительства Кыргызской Республики по развитию экспорта Кыргызской Республики на 2019-2022 годы, утвержденная постановлением Правительства Кыргызской Республики от 20 декабря 2018 года № 596, и Программа Правительства Кыргызской Республики развития сферы туризма на 2019-2023 годы, утвержденная постановлением Правительства Кыргызской Республики от 31 января 2019 года № 36) создадут базу для реального роста объемов сферы услуг на 3,3% в 2020 году. При этом прогнозируется умеренный прирост объемов оптово-розничной торговли до уровня 104,9%. Стабильная динамика и небольшое ускорение будут обусловлены постепенным насыщением внутреннего рынка, о чем свидетельствует динамика последних лет.</w:t>
      </w:r>
    </w:p>
    <w:p>
      <w:pPr>
        <w:spacing w:after="60"/>
        <w:ind w:firstLine="567"/>
        <w:jc w:val="both"/>
      </w:pPr>
      <w:r>
        <w:rPr>
          <w:rFonts w:ascii="Arial" w:cs="Arial" w:eastAsia="Arial" w:hAnsi="Arial"/>
          <w:sz w:val="24"/>
          <w:szCs w:val="24"/>
        </w:rPr>
        <w:t xml:space="preserve">Ожидаемое сохранение стабильного уровня цен на ГСМ в стране отразится на незначительном колебании цен на транспортные услуги. Продолжение работ в направлении расширения географии воздушного сообщения и увеличения грузопотока на наземном транспорте создаст условия для роста объемов транспортной отрасли, который прогнозируется на уровне 104,1% в 2020 году.</w:t>
      </w:r>
    </w:p>
    <w:p>
      <w:pPr>
        <w:spacing w:after="60"/>
        <w:ind w:firstLine="567"/>
        <w:jc w:val="both"/>
      </w:pPr>
      <w:r>
        <w:rPr>
          <w:rFonts w:ascii="Arial" w:cs="Arial" w:eastAsia="Arial" w:hAnsi="Arial"/>
          <w:sz w:val="24"/>
          <w:szCs w:val="24"/>
        </w:rPr>
        <w:t xml:space="preserve">Сохранение мировой тенденции снижения доходов телекоммуникационных компаний будет иметь место в состоянии отечественных сотовых операторов, и в 2020 году продолжится снижение объемов в отрасли, который прогнозируется на уровне 97,5%. Начало положительной динамики развития отрасли связи прогнозируется с 2021 года.</w:t>
      </w:r>
    </w:p>
    <w:p>
      <w:pPr>
        <w:spacing w:after="60"/>
        <w:ind w:firstLine="567"/>
        <w:jc w:val="both"/>
      </w:pPr>
      <w:r>
        <w:rPr>
          <w:rFonts w:ascii="Arial" w:cs="Arial" w:eastAsia="Arial" w:hAnsi="Arial"/>
          <w:sz w:val="24"/>
          <w:szCs w:val="24"/>
        </w:rPr>
        <w:t xml:space="preserve">Будут проводиться мероприятия по внедрению механизмов взаимодействия государственных органов посредством единой системы "Тундук", по переводу отдельных государственных услуг в цифровой формат и дальнейшему их размещению на государственном портале электронных услуг, реализации проекта "Digital CASA - Кыргызская Республика", который направлен на расширение доступа к более доступному Интернету, привлечению частных инвестиций в сектор информационно-коммуникационных технологий и повышению способности Правительства предоставлять услуги "цифрового правительства" в Кыргызской Республике.</w:t>
      </w:r>
    </w:p>
    <w:p>
      <w:pPr>
        <w:spacing w:after="60"/>
        <w:ind w:firstLine="567"/>
        <w:jc w:val="both"/>
      </w:pPr>
      <w:r>
        <w:rPr>
          <w:rFonts w:ascii="Arial" w:cs="Arial" w:eastAsia="Arial" w:hAnsi="Arial"/>
          <w:sz w:val="24"/>
          <w:szCs w:val="24"/>
        </w:rPr>
        <w:t xml:space="preserve">Мероприятия, заложенные в Программе Правительства Кыргызской Республики развития сферы туризма на 2019-2023 годы, утвержденной постановлением Правительства Кыргызской Республики от 31 января 2019 года № 36, направлены на увеличение доли туризма в ВВП и доведение ее в 2020 году до 6,0%, 2022 году - до 6,5% ВВП. Основные усилия будут направлены на комплексное улучшение туристической инфраструктуры и повышение уровня сервиса в отрасли. В 2020 году реальный рост в услугах гостиниц и ресторанов прогнозируется на уровне 108,4%. Реализация туристического потенциала страны и расширение сервисных услуг будет иметь положительный мультипликативный эффект на все отрасли услуг.</w:t>
      </w:r>
    </w:p>
    <w:p>
      <w:pPr>
        <w:spacing w:after="60" w:before="200"/>
        <w:ind w:firstLine="567"/>
        <w:jc w:val="left"/>
      </w:pPr>
      <w:r>
        <w:rPr>
          <w:rFonts w:ascii="Arial" w:cs="Arial" w:eastAsia="Arial" w:hAnsi="Arial"/>
          <w:b/>
          <w:bCs/>
          <w:sz w:val="24"/>
          <w:szCs w:val="24"/>
        </w:rPr>
        <w:t xml:space="preserve">7.9.2. ВВП методом конечного использования (расходов)</w:t>
      </w:r>
    </w:p>
    <w:p>
      <w:pPr>
        <w:spacing w:after="60"/>
        <w:ind w:firstLine="567"/>
        <w:jc w:val="both"/>
      </w:pPr>
      <w:r>
        <w:rPr>
          <w:rFonts w:ascii="Arial" w:cs="Arial" w:eastAsia="Arial" w:hAnsi="Arial"/>
          <w:sz w:val="24"/>
          <w:szCs w:val="24"/>
        </w:rPr>
        <w:t xml:space="preserve">Предпринимаемые меры Правительства по повышению привлекательности инвестиционного климата, устранению административных барьеров, ограничивающих развитие предпринимательства и инвестирование на территории регионов, а также реализация крупных инвестиционных проектов, заложенных в стратегических документах, будут способствовать увеличению доли валовых инвестиций в структуре ВВП с 32,9% - в 2017 году до 38,7% - в 2020 году.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ВВП методом конечного использования (расходов), в %</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8"/>
        <w:gridCol w:w="2038"/>
        <w:gridCol w:w="1598"/>
        <w:gridCol w:w="1854"/>
      </w:tblGrid>
      <w:tr>
        <w:tc>
          <w:tcPr>
            <w:tcW w:type="dxa" w:w="4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год(11) оценка</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(ПГИ)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w:t>
            </w:r>
          </w:p>
        </w:tc>
      </w:tr>
    </w:tbl>
    <w:p>
      <w:pPr>
        <w:spacing w:after="60" w:before="120"/>
        <w:ind w:firstLine="567"/>
        <w:jc w:val="both"/>
      </w:pPr>
      <w:r>
        <w:rPr>
          <w:rFonts w:ascii="Arial" w:cs="Arial" w:eastAsia="Arial" w:hAnsi="Arial"/>
          <w:sz w:val="24"/>
          <w:szCs w:val="24"/>
        </w:rPr>
        <w:t xml:space="preserve">(*) По методике Международного валютного фонда.</w:t>
      </w:r>
    </w:p>
    <w:p>
      <w:pPr>
        <w:spacing w:after="60"/>
        <w:ind w:firstLine="567"/>
        <w:jc w:val="both"/>
      </w:pPr>
      <w:r>
        <w:rPr>
          <w:rFonts w:ascii="Arial" w:cs="Arial" w:eastAsia="Arial" w:hAnsi="Arial"/>
          <w:sz w:val="24"/>
          <w:szCs w:val="24"/>
        </w:rPr>
        <w:t xml:space="preserve">Действия и усилия Правительства Кыргызской Республики, как и прежде, будут направлены на развитие экспортного потенциала республики, реализация которого будет проводиться в рамках Программы Правительства Кыргызской Республики по развитию экспорта Кыргызской Республики на 2019-2022 годы (далее - Программа), утвержденной постановлением Правительства Кыргызской Республики от 20 декабря 2018 года № 596, для реализации которой разработан План мероприятий, где заложены меры по созданию инфраструктуры для экспортоориентированных предприятий (транспортно-логистическая инфраструктура, инфраструктура качества) и упрощению их доступа к финансовым ресурсам. Кроме того, в рамках соглашений о создании зон свободной торговли с отдельными странами (Арабская Республика Египет, Государство Израиль, Республика Сербия, Сингапур) будет проводиться работа по продвижению отечественных товаров на рынки Европы и Азии.</w:t>
      </w:r>
    </w:p>
    <w:p>
      <w:pPr>
        <w:spacing w:after="60"/>
        <w:ind w:firstLine="567"/>
        <w:jc w:val="both"/>
      </w:pPr>
      <w:r>
        <w:rPr>
          <w:rFonts w:ascii="Arial" w:cs="Arial" w:eastAsia="Arial" w:hAnsi="Arial"/>
          <w:sz w:val="24"/>
          <w:szCs w:val="24"/>
        </w:rPr>
        <w:t xml:space="preserve">В рамках Программы определены четыре перспективных сектора, которые будут ключевыми факторами, определяющими динамику отечественного экспорта. Возможность наращивания экспорта ожидается за счет швейной и молочной отраслей, переработки овощей и фруктов. Также в Программу включены три кросс-отраслевых сектора: инфраструктура качества, доступ к финансам и стимулирование экспорта.</w:t>
      </w:r>
    </w:p>
    <w:p>
      <w:pPr>
        <w:spacing w:after="60"/>
        <w:ind w:firstLine="567"/>
        <w:jc w:val="both"/>
      </w:pPr>
      <w:r>
        <w:rPr>
          <w:rFonts w:ascii="Arial" w:cs="Arial" w:eastAsia="Arial" w:hAnsi="Arial"/>
          <w:sz w:val="24"/>
          <w:szCs w:val="24"/>
        </w:rPr>
        <w:t xml:space="preserve">В Плане мероприятий по реализации Программы предусмотрены следующие меры по:</w:t>
      </w:r>
    </w:p>
    <w:p>
      <w:pPr>
        <w:spacing w:after="60"/>
        <w:ind w:firstLine="567"/>
        <w:jc w:val="both"/>
      </w:pPr>
      <w:r>
        <w:rPr>
          <w:rFonts w:ascii="Arial" w:cs="Arial" w:eastAsia="Arial" w:hAnsi="Arial"/>
          <w:sz w:val="24"/>
          <w:szCs w:val="24"/>
        </w:rPr>
        <w:t xml:space="preserve">- институциональному развитию предприятий-экспортеров;</w:t>
      </w:r>
    </w:p>
    <w:p>
      <w:pPr>
        <w:spacing w:after="60"/>
        <w:ind w:firstLine="567"/>
        <w:jc w:val="both"/>
      </w:pPr>
      <w:r>
        <w:rPr>
          <w:rFonts w:ascii="Arial" w:cs="Arial" w:eastAsia="Arial" w:hAnsi="Arial"/>
          <w:sz w:val="24"/>
          <w:szCs w:val="24"/>
        </w:rPr>
        <w:t xml:space="preserve">- обеспечению доступа к нормативным правовым актам, действующим в странах экспорта, международным стандартам по системам менеджмента и международным стандартам по методам испытания продукции;</w:t>
      </w:r>
    </w:p>
    <w:p>
      <w:pPr>
        <w:spacing w:after="60"/>
        <w:ind w:firstLine="567"/>
        <w:jc w:val="both"/>
      </w:pPr>
      <w:r>
        <w:rPr>
          <w:rFonts w:ascii="Arial" w:cs="Arial" w:eastAsia="Arial" w:hAnsi="Arial"/>
          <w:sz w:val="24"/>
          <w:szCs w:val="24"/>
        </w:rPr>
        <w:t xml:space="preserve">- достижению предприятиями Кыргызской Республики полного соответствия выпускаемой продукции требованиям технических регламентов, карантинным фитосанитарным требованиям ЕАЭС, требованиям директив Европейского союза, нормам международного санитарного и фитосанитарного контроля;</w:t>
      </w:r>
    </w:p>
    <w:p>
      <w:pPr>
        <w:spacing w:after="60"/>
        <w:ind w:firstLine="567"/>
        <w:jc w:val="both"/>
      </w:pPr>
      <w:r>
        <w:rPr>
          <w:rFonts w:ascii="Arial" w:cs="Arial" w:eastAsia="Arial" w:hAnsi="Arial"/>
          <w:sz w:val="24"/>
          <w:szCs w:val="24"/>
        </w:rPr>
        <w:t xml:space="preserve">- внедрению международных стандартов качества на предприятиях;</w:t>
      </w:r>
    </w:p>
    <w:p>
      <w:pPr>
        <w:spacing w:after="60"/>
        <w:ind w:firstLine="567"/>
        <w:jc w:val="both"/>
      </w:pPr>
      <w:r>
        <w:rPr>
          <w:rFonts w:ascii="Arial" w:cs="Arial" w:eastAsia="Arial" w:hAnsi="Arial"/>
          <w:sz w:val="24"/>
          <w:szCs w:val="24"/>
        </w:rPr>
        <w:t xml:space="preserve">- развитию транспортно-логистической инфраструктуры;</w:t>
      </w:r>
    </w:p>
    <w:p>
      <w:pPr>
        <w:spacing w:after="60"/>
        <w:ind w:firstLine="567"/>
        <w:jc w:val="both"/>
      </w:pPr>
      <w:r>
        <w:rPr>
          <w:rFonts w:ascii="Arial" w:cs="Arial" w:eastAsia="Arial" w:hAnsi="Arial"/>
          <w:sz w:val="24"/>
          <w:szCs w:val="24"/>
        </w:rPr>
        <w:t xml:space="preserve">- поддержке продвижения на внешних рынках и др.</w:t>
      </w:r>
    </w:p>
    <w:p>
      <w:pPr>
        <w:spacing w:after="60"/>
        <w:ind w:firstLine="567"/>
        <w:jc w:val="both"/>
      </w:pPr>
      <w:r>
        <w:rPr>
          <w:rFonts w:ascii="Arial" w:cs="Arial" w:eastAsia="Arial" w:hAnsi="Arial"/>
          <w:sz w:val="24"/>
          <w:szCs w:val="24"/>
        </w:rPr>
        <w:t xml:space="preserve">Традиционно основными торгово-экономическими партнерами во внешнеторговом взаимодействии будут государства-члены ЕАЭС и СНГ.</w:t>
      </w:r>
    </w:p>
    <w:p>
      <w:pPr>
        <w:spacing w:after="60"/>
        <w:ind w:firstLine="567"/>
        <w:jc w:val="both"/>
      </w:pPr>
      <w:r>
        <w:rPr>
          <w:rFonts w:ascii="Arial" w:cs="Arial" w:eastAsia="Arial" w:hAnsi="Arial"/>
          <w:sz w:val="24"/>
          <w:szCs w:val="24"/>
        </w:rPr>
        <w:t xml:space="preserve">В перспективе следующие ключевые факторы, такие как снижение существующих барьеров в торговле внутри ЕАЭС, валютные риски, волатильность мировых цен на сырьевые товары, снижение уязвимости к внешним шокам, денежные переводы и др. будут предопределять траекторию общего товарооборота.</w:t>
      </w:r>
    </w:p>
    <w:p>
      <w:pPr>
        <w:spacing w:after="60"/>
        <w:ind w:firstLine="567"/>
        <w:jc w:val="both"/>
      </w:pPr>
      <w:r>
        <w:rPr>
          <w:rFonts w:ascii="Arial" w:cs="Arial" w:eastAsia="Arial" w:hAnsi="Arial"/>
          <w:sz w:val="24"/>
          <w:szCs w:val="24"/>
        </w:rPr>
        <w:t xml:space="preserve">Прогнозируется, что в 2020 году внешнеторговый оборот составит 7572,2 млн. долл. США, в том числе экспорт прогнозируется на уровне 2100,0 млн. долл. США и импорт - 5472,2 млн. долл. США.</w:t>
      </w:r>
    </w:p>
    <w:p>
      <w:pPr>
        <w:spacing w:after="60"/>
        <w:ind w:firstLine="567"/>
        <w:jc w:val="both"/>
      </w:pPr>
      <w:r>
        <w:rPr>
          <w:rFonts w:ascii="Arial" w:cs="Arial" w:eastAsia="Arial" w:hAnsi="Arial"/>
          <w:sz w:val="24"/>
          <w:szCs w:val="24"/>
        </w:rPr>
        <w:t xml:space="preserve">Рост объема экспортных поставок прогнозируется на уровне 106,1%, без учета золота - 105,5%. Основными товарными позициями в экспорте будут: золото, цемент, предметы одежды и одежных принадлежностей, и овощи и фрукты и др.</w:t>
      </w:r>
    </w:p>
    <w:p>
      <w:pPr>
        <w:spacing w:after="60"/>
        <w:ind w:firstLine="567"/>
        <w:jc w:val="both"/>
      </w:pPr>
      <w:r>
        <w:rPr>
          <w:rFonts w:ascii="Arial" w:cs="Arial" w:eastAsia="Arial" w:hAnsi="Arial"/>
          <w:sz w:val="24"/>
          <w:szCs w:val="24"/>
        </w:rPr>
        <w:t xml:space="preserve">Увеличение объема импортных поступлений прогнозируется на уровне 105,2%, где доминирующее влияние будет оказывать ввоз в страну нефтепродуктов, продовольственных товаров, фармацевтической продукции и др.</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прогнозируется на уровне 3372,2 млн. долл. США.</w:t>
      </w:r>
    </w:p>
    <w:p>
      <w:pPr>
        <w:spacing w:after="60"/>
        <w:ind w:firstLine="567"/>
        <w:jc w:val="both"/>
      </w:pPr>
      <w:r>
        <w:rPr>
          <w:rFonts w:ascii="Arial" w:cs="Arial" w:eastAsia="Arial" w:hAnsi="Arial"/>
          <w:sz w:val="24"/>
          <w:szCs w:val="24"/>
        </w:rPr>
        <w:t xml:space="preserve">Удельный вес объема экспорта товаров и услуг в 2020 году составит 32,6%, где наблюдается некоторое снижение по сравнению с 2019 годом в связи с сокращением объемов производства золота на предприятии по разработке месторождения Кумтор, доля которого в структуре экспорта составляет почти 30%.</w:t>
      </w:r>
    </w:p>
    <w:p>
      <w:pPr>
        <w:spacing w:after="60"/>
        <w:ind w:firstLine="567"/>
        <w:jc w:val="both"/>
      </w:pPr>
      <w:r>
        <w:rPr>
          <w:rFonts w:ascii="Arial" w:cs="Arial" w:eastAsia="Arial" w:hAnsi="Arial"/>
          <w:sz w:val="24"/>
          <w:szCs w:val="24"/>
        </w:rPr>
        <w:t xml:space="preserve">Принимаемые меры по улучшению благосостояния населения, увеличению размера доходов населения, а также прогнозируемое увеличение объемов импорта и денежных переводов позволят увеличить потребление. Рост уровня потребления прогнозируется в среднем ежегодно на 3,5%, в том числе реальный прирост частного потребления в среднем на 4,0%.</w:t>
      </w:r>
    </w:p>
    <w:p>
      <w:pPr>
        <w:spacing w:after="60" w:before="200"/>
        <w:ind w:firstLine="567"/>
        <w:jc w:val="left"/>
      </w:pPr>
      <w:r>
        <w:rPr>
          <w:rFonts w:ascii="Arial" w:cs="Arial" w:eastAsia="Arial" w:hAnsi="Arial"/>
          <w:b/>
          <w:bCs/>
          <w:sz w:val="24"/>
          <w:szCs w:val="24"/>
        </w:rPr>
        <w:t xml:space="preserve">7.9.3. ВВП методом доходов</w:t>
      </w:r>
    </w:p>
    <w:p>
      <w:pPr>
        <w:spacing w:after="60"/>
        <w:ind w:firstLine="567"/>
        <w:jc w:val="both"/>
      </w:pPr>
      <w:r>
        <w:rPr>
          <w:rFonts w:ascii="Arial" w:cs="Arial" w:eastAsia="Arial" w:hAnsi="Arial"/>
          <w:sz w:val="24"/>
          <w:szCs w:val="24"/>
        </w:rPr>
        <w:t xml:space="preserve">Меры, Правительством принимаемые по оказанию содействия занятости населения, созданию условий для обеспечения достойным трудом и повышению уровня жизни населения, будут способствовать постепенному номинальному увеличению оплаты труда, при этом ожидается снижение ее доли в структуре ВВП, рассчитанного по источникам формирования доходов, с 26,9% - в 2018 году до 26,3% - в 2020 году ввиду более быстрого роста номинального объема ВВП.</w:t>
      </w:r>
    </w:p>
    <w:p>
      <w:pPr>
        <w:spacing w:after="60"/>
        <w:ind w:firstLine="567"/>
        <w:jc w:val="both"/>
      </w:pPr>
      <w:r>
        <w:rPr>
          <w:rFonts w:ascii="Arial" w:cs="Arial" w:eastAsia="Arial" w:hAnsi="Arial"/>
          <w:sz w:val="24"/>
          <w:szCs w:val="24"/>
        </w:rPr>
        <w:t xml:space="preserve">При этом доля налогов на производство и импорт (за вычетом субсидий) в ВВП будет оставаться относительно стабильной на уровне в среднем 15,0%. Доля валовой прибыли и смешанных доходов в ВВП будет постепенно увеличиваться в 2020 году в виду снижения доходов от оплаты труда.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ВВП по счету образования доходов, в %</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8"/>
        <w:gridCol w:w="1519"/>
        <w:gridCol w:w="1372"/>
        <w:gridCol w:w="1629"/>
      </w:tblGrid>
      <w:tr>
        <w:tc>
          <w:tcPr>
            <w:tcW w:type="dxa" w:w="56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оценка</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ожид.</w:t>
            </w:r>
          </w:p>
        </w:tc>
        <w:tc>
          <w:tcPr>
            <w:tcW w:type="dxa" w:w="1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56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внутренний продукт</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6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6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наемных работников</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r>
      <w:tr>
        <w:tc>
          <w:tcPr>
            <w:tcW w:type="dxa" w:w="56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производство и импорт (за вычетом субсидий)</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r>
      <w:tr>
        <w:tc>
          <w:tcPr>
            <w:tcW w:type="dxa" w:w="56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прибыль и валовой смешанный доход</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w:t>
            </w:r>
          </w:p>
        </w:tc>
      </w:tr>
    </w:tbl>
    <w:p>
      <w:pPr>
        <w:spacing w:after="120" w:before="120"/>
        <w:jc w:val="left"/>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7.10. Региональное развитие</w:t>
      </w:r>
    </w:p>
    <w:p>
      <w:pPr>
        <w:spacing w:after="60"/>
        <w:ind w:firstLine="567"/>
        <w:jc w:val="both"/>
      </w:pPr>
      <w:r>
        <w:rPr>
          <w:rFonts w:ascii="Arial" w:cs="Arial" w:eastAsia="Arial" w:hAnsi="Arial"/>
          <w:sz w:val="24"/>
          <w:szCs w:val="24"/>
        </w:rPr>
        <w:t xml:space="preserve">В 2020 году будет продолжена работа по сбалансированному развитию регионов, созданию благоприятной бизнес-среды. Для улучшения благосостояния населения и экономического состояния регионов будет активно вестись работа по реализации Концепции региональной политики Кыргызской Республики на период 2018-2022 годов, утвержденной постановлением Правительства Кыргызской Республики от 31 марта 2017 года № 194, а также мероприятия, начатые в рамках Указа Президента Кыргызской Республики об объявлении 2019 года Годом развития регионов и цифровизации страны. Для реализации поставленных задач будут определены основные конкурентные преимущества каждого региона, с учетом их специфики, а также дальнейшее развитие городов-точек роста. Будет завершено формирование стратегий развития городов-точек роста и начнется их практическая реализация, в том числе будут активированы работы по улучшению инфраструктуры данных городов и концентрации оказываемых в них государственных услуг. В связи с этим ежегодно, до 2025 года органам местного самоуправления будут выделяться средства в размере 50,0 млн. сомов из республиканского бюджета на разработку генеральных планов. В рамках проводимых мероприятий будут решаться задачи по:</w:t>
      </w:r>
    </w:p>
    <w:p>
      <w:pPr>
        <w:spacing w:after="60"/>
        <w:ind w:firstLine="567"/>
        <w:jc w:val="both"/>
      </w:pPr>
      <w:r>
        <w:rPr>
          <w:rFonts w:ascii="Arial" w:cs="Arial" w:eastAsia="Arial" w:hAnsi="Arial"/>
          <w:sz w:val="24"/>
          <w:szCs w:val="24"/>
        </w:rPr>
        <w:t xml:space="preserve">- строительству и запуску торгово-логистических центров в областях республики;</w:t>
      </w:r>
    </w:p>
    <w:p>
      <w:pPr>
        <w:spacing w:after="60"/>
        <w:ind w:firstLine="567"/>
        <w:jc w:val="both"/>
      </w:pPr>
      <w:r>
        <w:rPr>
          <w:rFonts w:ascii="Arial" w:cs="Arial" w:eastAsia="Arial" w:hAnsi="Arial"/>
          <w:sz w:val="24"/>
          <w:szCs w:val="24"/>
        </w:rPr>
        <w:t xml:space="preserve">- открытию центров обслуживания населения (ЦОН) в регионах;</w:t>
      </w:r>
    </w:p>
    <w:p>
      <w:pPr>
        <w:spacing w:after="60"/>
        <w:ind w:firstLine="567"/>
        <w:jc w:val="both"/>
      </w:pPr>
      <w:r>
        <w:rPr>
          <w:rFonts w:ascii="Arial" w:cs="Arial" w:eastAsia="Arial" w:hAnsi="Arial"/>
          <w:sz w:val="24"/>
          <w:szCs w:val="24"/>
        </w:rPr>
        <w:t xml:space="preserve">- строительству объектов ирригации, введению новых орошаемых земель и повышению водообеспеченности;</w:t>
      </w:r>
    </w:p>
    <w:p>
      <w:pPr>
        <w:spacing w:after="60"/>
        <w:ind w:firstLine="567"/>
        <w:jc w:val="both"/>
      </w:pPr>
      <w:r>
        <w:rPr>
          <w:rFonts w:ascii="Arial" w:cs="Arial" w:eastAsia="Arial" w:hAnsi="Arial"/>
          <w:sz w:val="24"/>
          <w:szCs w:val="24"/>
        </w:rPr>
        <w:t xml:space="preserve">- точечному строительству образовательных и медицинских учреждений исходя из фактической потребности;</w:t>
      </w:r>
    </w:p>
    <w:p>
      <w:pPr>
        <w:spacing w:after="60"/>
        <w:ind w:firstLine="567"/>
        <w:jc w:val="both"/>
      </w:pPr>
      <w:r>
        <w:rPr>
          <w:rFonts w:ascii="Arial" w:cs="Arial" w:eastAsia="Arial" w:hAnsi="Arial"/>
          <w:sz w:val="24"/>
          <w:szCs w:val="24"/>
        </w:rPr>
        <w:t xml:space="preserve">- модернизации и строительству энергетической инфраструктуры в регионах;</w:t>
      </w:r>
    </w:p>
    <w:p>
      <w:pPr>
        <w:spacing w:after="60"/>
        <w:ind w:firstLine="567"/>
        <w:jc w:val="both"/>
      </w:pPr>
      <w:r>
        <w:rPr>
          <w:rFonts w:ascii="Arial" w:cs="Arial" w:eastAsia="Arial" w:hAnsi="Arial"/>
          <w:sz w:val="24"/>
          <w:szCs w:val="24"/>
        </w:rPr>
        <w:t xml:space="preserve">- строительству и реконструкции региональных транспортных сообщений;</w:t>
      </w:r>
    </w:p>
    <w:p>
      <w:pPr>
        <w:spacing w:after="60"/>
        <w:ind w:firstLine="567"/>
        <w:jc w:val="both"/>
      </w:pPr>
      <w:r>
        <w:rPr>
          <w:rFonts w:ascii="Arial" w:cs="Arial" w:eastAsia="Arial" w:hAnsi="Arial"/>
          <w:sz w:val="24"/>
          <w:szCs w:val="24"/>
        </w:rPr>
        <w:t xml:space="preserve">- строительству, реконструкции систем водоснабжения и водоотведения в регионах.</w:t>
      </w:r>
    </w:p>
    <w:p>
      <w:pPr>
        <w:spacing w:after="60"/>
        <w:ind w:firstLine="567"/>
        <w:jc w:val="both"/>
      </w:pPr>
      <w:r>
        <w:rPr>
          <w:rFonts w:ascii="Arial" w:cs="Arial" w:eastAsia="Arial" w:hAnsi="Arial"/>
          <w:sz w:val="24"/>
          <w:szCs w:val="24"/>
        </w:rPr>
        <w:t xml:space="preserve">Кроме того, в целях развития регионов и стимулирования притока инвестиций в региональные проекты и предприятия регионов будет запущен механизм, способствующий развитию отдельных населенных пунктов через определение преференций для предприятий, осуществляющих на их территории свою деятельность. Вновь созданным предприятиям на период с 5 до 10 лет будет предоставляться освобождение от уплаты налогов на имущество, земельного налога, от налога на прибыль и налога с продаж (Закон Кыргызской Республики "О внесении изменений в Налоговый кодекс Кыргызской Республики" от 29 июня 2017 года № 114).</w:t>
      </w:r>
    </w:p>
    <w:p>
      <w:pPr>
        <w:spacing w:after="60"/>
        <w:ind w:firstLine="567"/>
        <w:jc w:val="both"/>
      </w:pPr>
      <w:r>
        <w:rPr>
          <w:rFonts w:ascii="Arial" w:cs="Arial" w:eastAsia="Arial" w:hAnsi="Arial"/>
          <w:sz w:val="24"/>
          <w:szCs w:val="24"/>
        </w:rPr>
        <w:t xml:space="preserve">Будет проводиться дальнейшая активная работа по улучшению благосостояния населения регионов через создание и реализацию кластеров, таких как туристический кластер, швейный кластер и другие.</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2020 году будет обеспечиваться за счет функционирования экономик города Бишкек, Чуйской, Иссык-Кульской и Джалал-Абадской областей, с удельным весом 78,3%, суммарный вклад которых в рост ВВП республики составит 3,26 процентных пункта. Значительные доли в общем объеме производства ВВП Джалал-Абадской (11,8%) и Иссык-Кульской (11,2%)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21,6% - Ошской, Баткенской, Нарынской, Таласской областями и городом Ош.</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Вклады регионов в производство ВВП</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0"/>
        <w:gridCol w:w="1313"/>
        <w:gridCol w:w="1313"/>
        <w:gridCol w:w="1323"/>
        <w:gridCol w:w="1323"/>
        <w:gridCol w:w="1323"/>
        <w:gridCol w:w="1323"/>
      </w:tblGrid>
      <w:tr>
        <w:tc>
          <w:tcPr>
            <w:tcW w:type="dxa" w:w="226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52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vMerge w:val="continue"/>
            <w:tcBorders>
              <w:top w:val="single" w:color="CBBF9E" w:sz="4"/>
              <w:left w:val="single" w:color="CBBF9E" w:sz="4"/>
              <w:bottom w:val="single" w:color="CBBF9E" w:sz="4"/>
              <w:right w:val="single" w:color="CBBF9E" w:sz="4"/>
            </w:tcBorders>
          </w:tcP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(республика)</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595900,3</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635071,7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19351,8</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20396,9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68709,8</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74638,6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69061,7</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71287,0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14680,8</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15551,1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42882,2</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45862,8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17004,2</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17979,0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101340,2</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107667,0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227679,5</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243716,9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35157,0</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37972,4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r>
    </w:tbl>
    <w:p>
      <w:pPr>
        <w:spacing w:after="120" w:before="120"/>
        <w:jc w:val="left"/>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7.11. Социальная сфера</w:t>
      </w:r>
    </w:p>
    <w:p>
      <w:pPr>
        <w:spacing w:after="60"/>
        <w:ind w:firstLine="567"/>
        <w:jc w:val="both"/>
      </w:pPr>
      <w:r>
        <w:rPr>
          <w:rFonts w:ascii="Arial" w:cs="Arial" w:eastAsia="Arial" w:hAnsi="Arial"/>
          <w:sz w:val="24"/>
          <w:szCs w:val="24"/>
        </w:rPr>
        <w:t xml:space="preserve">Политика социального развития в 2020 году будет направлена на повышение уровня жизни населения и улучшение положения социально незащищенных категорий граждан, с учетом реальных возможностей государства. Основное внимание будет уделено вопросам укрепления и развития института семьи, материнства, отцовства и детства, а также обеспечения минимального базового уровня социальной защиты, гарантированного государством. Будет проводиться работа по выявлению и устранению существующих пробелов в доступе к социальным услугам детей трудовых мигрантов.</w:t>
      </w:r>
    </w:p>
    <w:p>
      <w:pPr>
        <w:spacing w:after="60"/>
        <w:ind w:firstLine="567"/>
        <w:jc w:val="both"/>
      </w:pPr>
      <w:r>
        <w:rPr>
          <w:rFonts w:ascii="Arial" w:cs="Arial" w:eastAsia="Arial" w:hAnsi="Arial"/>
          <w:sz w:val="24"/>
          <w:szCs w:val="24"/>
        </w:rPr>
        <w:t xml:space="preserve">Будет продолжена работа по оказанию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 Усилия будут направлены на развитие и расширение рынка социальных услуг, путем внедрения новых механизмов, в том числе платных услуг, аутсорсинга, государственно-частного партнерства и т.д.</w:t>
      </w:r>
    </w:p>
    <w:p>
      <w:pPr>
        <w:spacing w:after="60"/>
        <w:ind w:firstLine="567"/>
        <w:jc w:val="both"/>
      </w:pPr>
      <w:r>
        <w:rPr>
          <w:rFonts w:ascii="Arial" w:cs="Arial" w:eastAsia="Arial" w:hAnsi="Arial"/>
          <w:sz w:val="24"/>
          <w:szCs w:val="24"/>
        </w:rPr>
        <w:t xml:space="preserve">Предлагаемые меры будут направлены на интегрированный, системный и адресный подход к решению проблем социально незащищенных категорий граждан, с учетом их потребностей, в том числе связанных с продовольственной безопасностью и питанием, а также внедрением новых форм социальной работы и совершенствованием стандартов социальной защиты населения.</w:t>
      </w:r>
    </w:p>
    <w:p>
      <w:pPr>
        <w:spacing w:after="60"/>
        <w:ind w:firstLine="567"/>
        <w:jc w:val="both"/>
      </w:pPr>
      <w:r>
        <w:rPr>
          <w:rFonts w:ascii="Arial" w:cs="Arial" w:eastAsia="Arial" w:hAnsi="Arial"/>
          <w:sz w:val="24"/>
          <w:szCs w:val="24"/>
        </w:rPr>
        <w:t xml:space="preserve">В сфере труда и содействия занятости населения будет продолжена работа по оказанию содействия занятости населения и созданию условия для обеспечения достойным трудом. Будет проведен комплексный анализ будущей сферы труда, с учетом глобальных вызовов, и определены стратегические цели, приоритетные направления и задачи на среднесрочную перспективу. Будет разработан комплекс мер по внедрению международной классификации занятий, в том числе занятий в сфере социального обслуживания.</w:t>
      </w:r>
    </w:p>
    <w:p>
      <w:pPr>
        <w:spacing w:after="60"/>
        <w:ind w:firstLine="567"/>
        <w:jc w:val="both"/>
      </w:pPr>
      <w:r>
        <w:rPr>
          <w:rFonts w:ascii="Arial" w:cs="Arial" w:eastAsia="Arial" w:hAnsi="Arial"/>
          <w:sz w:val="24"/>
          <w:szCs w:val="24"/>
        </w:rPr>
        <w:t xml:space="preserve">Основные приоритетные направления деятельности в сфере содействия занятости будут реализовываться в соответствии с Программой содействия занятости населения и регулирования внутренней и внешней трудовой миграции до 2020 года, утвержденной постановлением Правительства Кыргызской Республики от 6 сентября 2013 года № 485, направленные на создание условий для продуктивной занятости населения, снижение безработицы и дисбаланса спроса и предложения на рынке труда путем активизации мер содействия занятости населения в государственных и негосударственных секторах экономики, включая разработку и реализацию программ социально-экономического развития регионов в целях сокращения уровня безработицы, с учетом более полного и рационального использования трудовых ресурсов, защиты прав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В целях реформирования пенсионного обеспечения, повышения стимулов для участия граждан ожидается дальнейшее совершенствование системы государственного пенсионного обеспечения, механизма выплаты средств пенсионных накоплений.</w:t>
      </w:r>
    </w:p>
    <w:p>
      <w:pPr>
        <w:spacing w:after="60"/>
        <w:ind w:firstLine="567"/>
        <w:jc w:val="both"/>
      </w:pPr>
      <w:r>
        <w:rPr>
          <w:rFonts w:ascii="Arial" w:cs="Arial" w:eastAsia="Arial" w:hAnsi="Arial"/>
          <w:sz w:val="24"/>
          <w:szCs w:val="24"/>
        </w:rPr>
        <w:t xml:space="preserve">Политика в сфере здравоохранения будет реализовываться в рамках Программы Правительства Кыргызской Республики по охране здоровья населения и развитию системы здравоохранения на 2019-2030 годы, утвержденной постановлением Правительства Кыргызской Республики от 20 декабря 2018 года № 600, направленной на улучшение показателей здоровья населения, предоставление качественных услуг, сокращение неравенства в отношении здоровья, обеспечение финансовой защиты. В результате проводимой политики и предпринимаемых мер в сфере здравоохранения в 2020 году прогнозируется увеличение продолжительности жизни граждан до 71,7 лет, сокращение уровня детской смертности до 18,1 на 1000 живорожденных, а также уровня материнской смертности до 32 на 100 тыс. живорожденных(12).</w:t>
      </w:r>
    </w:p>
    <w:p>
      <w:pPr>
        <w:spacing w:after="60"/>
        <w:ind w:firstLine="567"/>
        <w:jc w:val="both"/>
      </w:pPr>
      <w:r>
        <w:rPr>
          <w:rFonts w:ascii="Arial" w:cs="Arial" w:eastAsia="Arial" w:hAnsi="Arial"/>
          <w:sz w:val="24"/>
          <w:szCs w:val="24"/>
        </w:rPr>
        <w:t xml:space="preserve">В сфере развития образования и науки основными направлениями будут: обеспечение доступа детей к организованному дошкольному образованию и предшкольной подготовке; охват дошкольным образованием детей от 5,5 до 7 лет, за счет программ предшкольной подготовки, осуществления перехода к нормативному финансированию в дошкольных образовательных организациях, повышения доступности и качества образования в школах. Запланировано увеличение числа дошкольных образовательных учреждений до 1604, с численностью в 207,3 тыс. детей и общеобразовательных учреждений до 2268, с численностью обучающихся 1313,5 тыс. чел.</w:t>
      </w:r>
    </w:p>
    <w:p>
      <w:pPr>
        <w:spacing w:after="60"/>
        <w:ind w:firstLine="567"/>
        <w:jc w:val="both"/>
      </w:pPr>
      <w:r>
        <w:rPr>
          <w:rFonts w:ascii="Arial" w:cs="Arial" w:eastAsia="Arial" w:hAnsi="Arial"/>
          <w:sz w:val="24"/>
          <w:szCs w:val="24"/>
        </w:rPr>
        <w:t xml:space="preserve">Основополагающей целью государственной миграционной политики Кыргызской Республики будет оставаться эффективное управление миграционными процессами в целях устойчивого развития государства. В связи с этим выделены следующие приоритетные направления: внутренняя миграция - разработка и обеспечение реализации перспективных планов развития, способствующих росту занятости и постепенному увеличению числа городских жителей, в целях равномерного распределения населения по стране; трудовая миграция за границу - проведение комплексной работы по оказанию помощи трудящимся-мигрантам до их отъезда из страны, во время пребывания за границей и по их возвращении; иммиграция - организация процесса добровольного переселения кайрылманов в Кыргызскую Республику должна быть основана на принципах содействия социально-экономическому развитию регионов и решению демографических проблем, в первую очередь на территориях приоритетного заселения, за счет привлечения переселенцев на постоянное место жительства в Кыргызскую Республику и др.</w:t>
      </w:r>
    </w:p>
    <w:p>
      <w:pPr>
        <w:spacing w:after="60"/>
        <w:ind w:firstLine="567"/>
        <w:jc w:val="both"/>
      </w:pPr>
      <w:r>
        <w:rPr>
          <w:rFonts w:ascii="Arial" w:cs="Arial" w:eastAsia="Arial" w:hAnsi="Arial"/>
          <w:sz w:val="24"/>
          <w:szCs w:val="24"/>
        </w:rPr>
        <w:t xml:space="preserve">Основные приоритетные направления в сфере молодежной политики, физической культуры и спорта определены в Программе Правительства Кыргызской Республики "Развитие молодежной политики на 2017-2020 годы" (Программа "Развитие молодежи"), утвержденной постановлением Правительства Кыргызской Республики от 10 августа 2017 года № 471, и Программе Правительства Кыргызской Республики "Спортивный Кыргызстан" на 2018-2022 годы (Программа "Спортивный Кыргызстан"), утвержденной постановлением Правительства Кыргызской Республики от 22 сентября 2017 года № 600.</w:t>
      </w:r>
    </w:p>
    <w:p>
      <w:pPr>
        <w:spacing w:after="60"/>
        <w:ind w:firstLine="567"/>
        <w:jc w:val="both"/>
      </w:pPr>
      <w:r>
        <w:rPr>
          <w:rFonts w:ascii="Arial" w:cs="Arial" w:eastAsia="Arial" w:hAnsi="Arial"/>
          <w:sz w:val="24"/>
          <w:szCs w:val="24"/>
        </w:rPr>
        <w:t xml:space="preserve">Основными целями Программы "Спортивный Кыргызстан" являются повышение уровня массовости занятий физической активностью и спортом населения до 25% к 2022 году, системная подготовка национальной спортивной элиты и завоевание 3 высших спортивных наград на предстоящих Олимпийских играх 2020 года, 5 высших спортивных наград на Азиатских играх 2018 и 2022 годов, повышение уровня вовлеченности населения в национальные виды спорта, создание условий для особых категорий граждан и расширение их вовлеченности в физическую активность.</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2020 году будут складываться следующим образом.</w:t>
      </w:r>
    </w:p>
    <w:p>
      <w:pPr>
        <w:spacing w:after="60"/>
        <w:ind w:firstLine="567"/>
        <w:jc w:val="both"/>
      </w:pPr>
      <w:r>
        <w:rPr>
          <w:rFonts w:ascii="Arial" w:cs="Arial" w:eastAsia="Arial" w:hAnsi="Arial"/>
          <w:sz w:val="24"/>
          <w:szCs w:val="24"/>
        </w:rPr>
        <w:t xml:space="preserve">Номинальный прирост денежных доходов населения прогнозируется на уровне 4,5%. В структуре денежных доходов номинальный размер средней заработной платы возрастет на 4,7% и составит в 2020 году 17676,4 сома.</w:t>
      </w:r>
    </w:p>
    <w:p>
      <w:pPr>
        <w:spacing w:after="60"/>
        <w:ind w:firstLine="567"/>
        <w:jc w:val="both"/>
      </w:pPr>
      <w:r>
        <w:rPr>
          <w:rFonts w:ascii="Arial" w:cs="Arial" w:eastAsia="Arial" w:hAnsi="Arial"/>
          <w:sz w:val="24"/>
          <w:szCs w:val="24"/>
        </w:rPr>
        <w:t xml:space="preserve">С учетом роста денежных доходов населения прирост объема ВВП на душу населения составит 4,4%.</w:t>
      </w:r>
    </w:p>
    <w:p>
      <w:pPr>
        <w:spacing w:after="60"/>
        <w:ind w:firstLine="567"/>
        <w:jc w:val="both"/>
      </w:pPr>
      <w:r>
        <w:rPr>
          <w:rFonts w:ascii="Arial" w:cs="Arial" w:eastAsia="Arial" w:hAnsi="Arial"/>
          <w:sz w:val="24"/>
          <w:szCs w:val="24"/>
        </w:rPr>
        <w:t xml:space="preserve">Размер прожиточного минимума (ПМ) увеличится с 4792,5 сома - в 2018 году до 5083,9 сома - в 2020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3,1 к 2020 году.</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2018 года на 7,4% и составит в 2020 году 6020,0 сомов.</w:t>
      </w:r>
    </w:p>
    <w:p>
      <w:pPr>
        <w:spacing w:after="60"/>
        <w:ind w:firstLine="567"/>
        <w:jc w:val="both"/>
      </w:pPr>
      <w:r>
        <w:rPr>
          <w:rFonts w:ascii="Arial" w:cs="Arial" w:eastAsia="Arial" w:hAnsi="Arial"/>
          <w:sz w:val="24"/>
          <w:szCs w:val="24"/>
        </w:rPr>
        <w:t xml:space="preserve">Прогнозируемый уровень общей безработицы снизится и составит к 2020 году 6,2% относительно 6,9% фактически сложившегося уровня в 2017 году.</w:t>
      </w:r>
    </w:p>
    <w:p>
      <w:pPr>
        <w:spacing w:after="60"/>
        <w:ind w:firstLine="567"/>
        <w:jc w:val="both"/>
      </w:pPr>
      <w:r>
        <w:rPr>
          <w:rFonts w:ascii="Arial" w:cs="Arial" w:eastAsia="Arial" w:hAnsi="Arial"/>
          <w:sz w:val="24"/>
          <w:szCs w:val="24"/>
        </w:rPr>
        <w:t xml:space="preserve">Уровень бедности к 2020 году прогнозируется в размере 25,2% и снизится на 0,4 процентного пункта по сравнению с фактически сложившимся в 2017 году.</w:t>
      </w:r>
    </w:p>
    <w:p>
      <w:pPr>
        <w:spacing w:after="200" w:before="200"/>
        <w:jc w:val="center"/>
      </w:pPr>
      <w:r>
        <w:rPr>
          <w:rFonts w:ascii="Arial" w:cs="Arial" w:eastAsia="Arial" w:hAnsi="Arial"/>
          <w:b/>
          <w:bCs/>
          <w:sz w:val="24"/>
          <w:szCs w:val="24"/>
        </w:rPr>
        <w:t xml:space="preserve">8. Макроэкономический прогноз на 2021-2022 годы</w:t>
      </w:r>
    </w:p>
    <w:p>
      <w:pPr>
        <w:spacing w:after="60"/>
        <w:ind w:firstLine="567"/>
        <w:jc w:val="both"/>
      </w:pPr>
      <w:r>
        <w:rPr>
          <w:rFonts w:ascii="Arial" w:cs="Arial" w:eastAsia="Arial" w:hAnsi="Arial"/>
          <w:sz w:val="24"/>
          <w:szCs w:val="24"/>
        </w:rPr>
        <w:t xml:space="preserve">В 2021-2022 годы главными целями экономической политики будут сохранение положительных тенденций экономического роста,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4"/>
          <w:szCs w:val="24"/>
        </w:rPr>
        <w:t xml:space="preserve">Оценка прогнозных значений макроэкономических показателей на 2021-2022 годы основана на полной, успешной и своевременной реализации мер и инвестиционных проектов, заложенных в Программе развития Кыргызской Республики и их эффективном влиянии на экономику страны, где экономические преобразования позволят обеспечить ежегодный темп прироста ВВП не менее 4,0%, достижение которых требует активных действий от органов исполнительной власти по полной реализации крупных национальных проектов, эффективному управлению государственными активами страны, реформированию системы государственного регулирования для стимулирования всех отраслей экономики, созданию благоприятного инвестиционного климата, гибкой регуляторной политики в сфере предпринимательства, предсказуемость и стабильность законодательства.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Реальные вклады отраслей производства ВВП на 2021-2022 годы, %</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7"/>
        <w:gridCol w:w="1289"/>
        <w:gridCol w:w="1289"/>
        <w:gridCol w:w="1885"/>
        <w:gridCol w:w="1700"/>
        <w:gridCol w:w="1659"/>
      </w:tblGrid>
      <w:tr>
        <w:tc>
          <w:tcPr>
            <w:tcW w:type="dxa" w:w="23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 прогноз</w:t>
            </w:r>
          </w:p>
        </w:tc>
        <w:tc>
          <w:tcPr>
            <w:tcW w:type="dxa" w:w="1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 прогноз</w:t>
            </w:r>
          </w:p>
        </w:tc>
        <w:tc>
          <w:tcPr>
            <w:tcW w:type="dxa" w:w="18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удельный вес на 2021-2022 годы</w:t>
            </w:r>
          </w:p>
        </w:tc>
        <w:tc>
          <w:tcPr>
            <w:tcW w:type="dxa" w:w="1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темп роста на 2021-2022 годы</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2021-2022 годы</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2019 году и прогнозируемых показателей на 2020 год, среднегодовой реальный прирост ВВП на 2021-2022 годы прогнозируется на уровне 4,4%.</w:t>
      </w:r>
    </w:p>
    <w:p>
      <w:pPr>
        <w:spacing w:after="60"/>
        <w:ind w:firstLine="567"/>
        <w:jc w:val="both"/>
      </w:pPr>
      <w:r>
        <w:rPr>
          <w:rFonts w:ascii="Arial" w:cs="Arial" w:eastAsia="Arial" w:hAnsi="Arial"/>
          <w:sz w:val="24"/>
          <w:szCs w:val="24"/>
        </w:rPr>
        <w:t xml:space="preserve">В отраслевом разрезе в 2021-2022 годах прогнозируемые среднегодовые темпы прироста составят: в сельском хозяйстве - 3,4%, в промышленности - 4,9%, в строительстве - 9,4%, в сфере предоставления услуг - 3,5%.</w:t>
      </w:r>
    </w:p>
    <w:p>
      <w:pPr>
        <w:spacing w:after="60"/>
        <w:ind w:firstLine="567"/>
        <w:jc w:val="both"/>
      </w:pPr>
      <w:r>
        <w:rPr>
          <w:rFonts w:ascii="Arial" w:cs="Arial" w:eastAsia="Arial" w:hAnsi="Arial"/>
          <w:sz w:val="24"/>
          <w:szCs w:val="24"/>
        </w:rPr>
        <w:t xml:space="preserve">В целом на период 2021-2022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 направленных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Во всех отраслях экономики прогнозируются положительные темпы роста.</w:t>
      </w:r>
    </w:p>
    <w:p>
      <w:pPr>
        <w:spacing w:after="60"/>
        <w:ind w:firstLine="567"/>
        <w:jc w:val="both"/>
      </w:pPr>
      <w:r>
        <w:rPr>
          <w:rFonts w:ascii="Arial" w:cs="Arial" w:eastAsia="Arial" w:hAnsi="Arial"/>
          <w:sz w:val="24"/>
          <w:szCs w:val="24"/>
        </w:rPr>
        <w:t xml:space="preserve">В 2021-2022 годах прогнозируется увеличение реальных темпов прироста сельского хозяйства в среднем на 3,4%, за счет принимаемых государством и частным сектором мер по увеличению урожайности растениеводства и продуктивности животноводства. Удельный вес объемов сельского хозяйства в структуре ВВП составит в среднем 10,9% в год. Будут реализованы намеченные мероприятия для достижения реальных темпов роста сельскохозяйственной отрасли:</w:t>
      </w:r>
    </w:p>
    <w:p>
      <w:pPr>
        <w:spacing w:after="60"/>
        <w:ind w:firstLine="567"/>
        <w:jc w:val="both"/>
      </w:pPr>
      <w:r>
        <w:rPr>
          <w:rFonts w:ascii="Arial" w:cs="Arial" w:eastAsia="Arial" w:hAnsi="Arial"/>
          <w:sz w:val="24"/>
          <w:szCs w:val="24"/>
        </w:rPr>
        <w:t xml:space="preserve">- оптимизация посевных площадей путем систематического увеличения посевов площадей тех культур, которые пользуются наибольшим спросом;</w:t>
      </w:r>
    </w:p>
    <w:p>
      <w:pPr>
        <w:spacing w:after="60"/>
        <w:ind w:firstLine="567"/>
        <w:jc w:val="both"/>
      </w:pPr>
      <w:r>
        <w:rPr>
          <w:rFonts w:ascii="Arial" w:cs="Arial" w:eastAsia="Arial" w:hAnsi="Arial"/>
          <w:sz w:val="24"/>
          <w:szCs w:val="24"/>
        </w:rPr>
        <w:t xml:space="preserve">- активное использование систем капельного орошения;</w:t>
      </w:r>
    </w:p>
    <w:p>
      <w:pPr>
        <w:spacing w:after="60"/>
        <w:ind w:firstLine="567"/>
        <w:jc w:val="both"/>
      </w:pPr>
      <w:r>
        <w:rPr>
          <w:rFonts w:ascii="Arial" w:cs="Arial" w:eastAsia="Arial" w:hAnsi="Arial"/>
          <w:sz w:val="24"/>
          <w:szCs w:val="24"/>
        </w:rPr>
        <w:t xml:space="preserve">- дальнейшее развитие тепличных хозяйств;</w:t>
      </w:r>
    </w:p>
    <w:p>
      <w:pPr>
        <w:spacing w:after="60"/>
        <w:ind w:firstLine="567"/>
        <w:jc w:val="both"/>
      </w:pPr>
      <w:r>
        <w:rPr>
          <w:rFonts w:ascii="Arial" w:cs="Arial" w:eastAsia="Arial" w:hAnsi="Arial"/>
          <w:sz w:val="24"/>
          <w:szCs w:val="24"/>
        </w:rPr>
        <w:t xml:space="preserve">-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4"/>
          <w:szCs w:val="24"/>
        </w:rPr>
        <w:t xml:space="preserve">- продолжение поддержки сельхозпроизводителей со стороны государства по действующим кредитным и лизинговым программам;</w:t>
      </w:r>
    </w:p>
    <w:p>
      <w:pPr>
        <w:spacing w:after="60"/>
        <w:ind w:firstLine="567"/>
        <w:jc w:val="both"/>
      </w:pPr>
      <w:r>
        <w:rPr>
          <w:rFonts w:ascii="Arial" w:cs="Arial" w:eastAsia="Arial" w:hAnsi="Arial"/>
          <w:sz w:val="24"/>
          <w:szCs w:val="24"/>
        </w:rPr>
        <w:t xml:space="preserve">- оптимизация производственных процессов и управления, сокращение энергетических и ресурсных затрат в сельском хозяйстве.</w:t>
      </w:r>
    </w:p>
    <w:p>
      <w:pPr>
        <w:spacing w:after="60"/>
        <w:ind w:firstLine="567"/>
        <w:jc w:val="both"/>
      </w:pPr>
      <w:r>
        <w:rPr>
          <w:rFonts w:ascii="Arial" w:cs="Arial" w:eastAsia="Arial" w:hAnsi="Arial"/>
          <w:sz w:val="24"/>
          <w:szCs w:val="24"/>
        </w:rPr>
        <w:t xml:space="preserve">Прирост промышленного производства в 2021-2022 годах прогнозируется в среднем за год на уровне 4,9%.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Чаарат.</w:t>
      </w:r>
    </w:p>
    <w:p>
      <w:pPr>
        <w:spacing w:after="60"/>
        <w:ind w:firstLine="567"/>
        <w:jc w:val="both"/>
      </w:pPr>
      <w:r>
        <w:rPr>
          <w:rFonts w:ascii="Arial" w:cs="Arial" w:eastAsia="Arial" w:hAnsi="Arial"/>
          <w:sz w:val="24"/>
          <w:szCs w:val="24"/>
        </w:rPr>
        <w:t xml:space="preserve">На месторождении Кумтор прогнозируется снижение объемов производства основных металлов в 2021 году по сравнению с 2019 годом согласно производственному плану предприятия и увеличение объемов в 2022 году до 605,0 тыс. унций.</w:t>
      </w:r>
    </w:p>
    <w:p>
      <w:pPr>
        <w:spacing w:after="60"/>
        <w:ind w:firstLine="567"/>
        <w:jc w:val="both"/>
      </w:pPr>
      <w:r>
        <w:rPr>
          <w:rFonts w:ascii="Arial" w:cs="Arial" w:eastAsia="Arial" w:hAnsi="Arial"/>
          <w:sz w:val="24"/>
          <w:szCs w:val="24"/>
        </w:rPr>
        <w:t xml:space="preserve">Ожидается наращивание объемов производства пищевых продуктов (включая напитки) на 6,3% в среднем в год; прирост объемов текстильного производства; производства одежды и обуви, кожи и прочих кожаных изделий на 6,8% в среднем в год; увеличение производства кокса и очищенных нефтепродуктов на 4,5% в среднем в год; рост производства строительных материалов на 2,5% в среднем в год; увеличение производства фармацевтической продукции - на 9,5% в среднем в год.</w:t>
      </w:r>
    </w:p>
    <w:p>
      <w:pPr>
        <w:spacing w:after="60"/>
        <w:ind w:firstLine="567"/>
        <w:jc w:val="both"/>
      </w:pPr>
      <w:r>
        <w:rPr>
          <w:rFonts w:ascii="Arial" w:cs="Arial" w:eastAsia="Arial" w:hAnsi="Arial"/>
          <w:sz w:val="24"/>
          <w:szCs w:val="24"/>
        </w:rPr>
        <w:t xml:space="preserve">Прогнозируется увеличение объемов обеспечения электроэнергией, газом, паром и кондиционированным воздухом на 3,2% в среднем в год. Выработка электроэнергии в 2022 году прогнозируется в объеме 16714,7 млн. кВтч, что больше на 728,5 млн. кВтч по сравнению с 2020 годом, которая рассчитана с учетом среднемноголетней приточности реки Нарын в створе Токтогульского гидроузла.</w:t>
      </w:r>
    </w:p>
    <w:p>
      <w:pPr>
        <w:spacing w:after="60"/>
        <w:ind w:firstLine="567"/>
        <w:jc w:val="both"/>
      </w:pPr>
      <w:r>
        <w:rPr>
          <w:rFonts w:ascii="Arial" w:cs="Arial" w:eastAsia="Arial" w:hAnsi="Arial"/>
          <w:sz w:val="24"/>
          <w:szCs w:val="24"/>
        </w:rPr>
        <w:t xml:space="preserve">В 2021-2022 годах приоритетными направлениями развития строительной отрасли будут:</w:t>
      </w:r>
    </w:p>
    <w:p>
      <w:pPr>
        <w:spacing w:after="6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4"/>
          <w:szCs w:val="24"/>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4"/>
          <w:szCs w:val="24"/>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4"/>
          <w:szCs w:val="24"/>
        </w:rPr>
        <w:t xml:space="preserve">- реабилитация и сохранение автомобильных дорог, создание либеральных, безопасных международных транспортных коридоров, в том числе применение новых технологий в проектировании и строительстве дорог;</w:t>
      </w:r>
    </w:p>
    <w:p>
      <w:pPr>
        <w:spacing w:after="60"/>
        <w:ind w:firstLine="567"/>
        <w:jc w:val="both"/>
      </w:pPr>
      <w:r>
        <w:rPr>
          <w:rFonts w:ascii="Arial" w:cs="Arial" w:eastAsia="Arial" w:hAnsi="Arial"/>
          <w:sz w:val="24"/>
          <w:szCs w:val="24"/>
        </w:rPr>
        <w:t xml:space="preserve">- широкое применение механизмов государственного частного партнерства в строительной отрасли;</w:t>
      </w:r>
    </w:p>
    <w:p>
      <w:pPr>
        <w:spacing w:after="60"/>
        <w:ind w:firstLine="567"/>
        <w:jc w:val="both"/>
      </w:pPr>
      <w:r>
        <w:rPr>
          <w:rFonts w:ascii="Arial" w:cs="Arial" w:eastAsia="Arial" w:hAnsi="Arial"/>
          <w:sz w:val="24"/>
          <w:szCs w:val="24"/>
        </w:rPr>
        <w:t xml:space="preserve">- привлечение инвестиций на строительство и реконструкцию следующих объектов: Камбаратинская ГЭС-1, Верхне-Нарынский каскад ГЭС, Ак-Булунская ГЭС, Ат-Башинская ГЭС, Уч-Курганская ГЭС, Токтогульская ГЭС и другие генерирующие объекты.</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2021-2022 годах возрастет в среднем на 10,1% (с 210,8 млрд. сомов - в 2021 году до 234,0 млрд. сомов - в 2022 году). Структура капитальных вложений относительно прогнозируемой в 2020 году изменится в сторону снижения доли внутренних инвестиций до 67,6% от общего объема капитальных вложений в 2022 году и, соответственно, увеличения доли внешних инвестиций до 32,4%, по причине увеличения объемов иностранных кредитов из-за улучшения инвестиционного климата в стране, а также увеличения прямых иностранных инвестиций.</w:t>
      </w:r>
    </w:p>
    <w:p>
      <w:pPr>
        <w:spacing w:after="60"/>
        <w:ind w:firstLine="567"/>
        <w:jc w:val="both"/>
      </w:pPr>
      <w:r>
        <w:rPr>
          <w:rFonts w:ascii="Arial" w:cs="Arial" w:eastAsia="Arial" w:hAnsi="Arial"/>
          <w:sz w:val="24"/>
          <w:szCs w:val="24"/>
        </w:rPr>
        <w:t xml:space="preserve">В строительной отрасли прогнозируется темп реального прироста на уровне 9,4% в среднем за год. Влияние строительной отрасли на темпы экономического роста будет положительным и составит в среднем 0,91 процентных пункта.</w:t>
      </w:r>
    </w:p>
    <w:p>
      <w:pPr>
        <w:spacing w:after="60"/>
        <w:ind w:firstLine="567"/>
        <w:jc w:val="both"/>
      </w:pPr>
      <w:r>
        <w:rPr>
          <w:rFonts w:ascii="Arial" w:cs="Arial" w:eastAsia="Arial" w:hAnsi="Arial"/>
          <w:sz w:val="24"/>
          <w:szCs w:val="24"/>
        </w:rPr>
        <w:t xml:space="preserve">В 2021-2022 годах рост отраслей услуг прогнозируется на уровне 103,5% в среднем в год. Увеличение темпов будет обусловлено поддержанием внутреннего спроса, а также выходом отрасли связи из отрицательной области. Объемы оптово-розничной торговли увеличатся в среднем на 5,0%. Ожидаемое увеличение притока туристов в страну и сопутствующее улучшение инфраструктуры, капитальные инвестиции в отрасли туризма повлекут за собой развитие рыночных услуг. Услуги гостиниц и ресторанов прогнозируются на уровне 108,3% за счет увеличения оборота в местах сосредоточения рекреационных объектов.</w:t>
      </w:r>
    </w:p>
    <w:p>
      <w:pPr>
        <w:spacing w:after="6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2021-2022 годах, будут: преимущество членство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т.ч. туристических.</w:t>
      </w:r>
    </w:p>
    <w:p>
      <w:pPr>
        <w:spacing w:after="60"/>
        <w:ind w:firstLine="567"/>
        <w:jc w:val="both"/>
      </w:pPr>
      <w:r>
        <w:rPr>
          <w:rFonts w:ascii="Arial" w:cs="Arial" w:eastAsia="Arial" w:hAnsi="Arial"/>
          <w:sz w:val="24"/>
          <w:szCs w:val="24"/>
        </w:rPr>
        <w:t xml:space="preserve">В рамках ЕАЭС будет продолжена работа по расширению торгового сотрудничества с третьими странами, что обеспечит преференциальный доступ к кыргызским товарам на внешние рынки.</w:t>
      </w:r>
    </w:p>
    <w:p>
      <w:pPr>
        <w:spacing w:after="60"/>
        <w:ind w:firstLine="567"/>
        <w:jc w:val="both"/>
      </w:pPr>
      <w:r>
        <w:rPr>
          <w:rFonts w:ascii="Arial" w:cs="Arial" w:eastAsia="Arial" w:hAnsi="Arial"/>
          <w:sz w:val="24"/>
          <w:szCs w:val="24"/>
        </w:rPr>
        <w:t xml:space="preserve">Таможенно-тарифная политика ЕАЭС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а также будет способствовать сдерживанию роста внутренних цен, обеспечивать фискальную функцию бюджета, сокращать прямые и косвенные издержки операторов внешнеэкономической деятельности.</w:t>
      </w:r>
    </w:p>
    <w:p>
      <w:pPr>
        <w:spacing w:after="60"/>
        <w:ind w:firstLine="567"/>
        <w:jc w:val="both"/>
      </w:pPr>
      <w:r>
        <w:rPr>
          <w:rFonts w:ascii="Arial" w:cs="Arial" w:eastAsia="Arial" w:hAnsi="Arial"/>
          <w:sz w:val="24"/>
          <w:szCs w:val="24"/>
        </w:rPr>
        <w:t xml:space="preserve">Рост объемов внешнеторгового оборота в 2021-2022 годах прогнозируется в среднем на 6,4% ежегодно и в 2022 году достигает уровня 8575,7 млн. долл. США. Номинальный рост объема экспорта товаров в 2021-2022 годах прогнозируется в среднем на 8,6%, а импорта - на 5,6%. Как и прежде, основной статьей экспорта будет золото, которое занимает в структуре экспорта около 30%. Рост экспорта золота будет обеспечен вводом в строй новых месторождений золота.</w:t>
      </w:r>
    </w:p>
    <w:p>
      <w:pPr>
        <w:spacing w:after="60"/>
        <w:ind w:firstLine="567"/>
        <w:jc w:val="both"/>
      </w:pPr>
      <w:r>
        <w:rPr>
          <w:rFonts w:ascii="Arial" w:cs="Arial" w:eastAsia="Arial" w:hAnsi="Arial"/>
          <w:sz w:val="24"/>
          <w:szCs w:val="24"/>
        </w:rPr>
        <w:t xml:space="preserve">Политика социального развития в 2021-2022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60"/>
        <w:ind w:firstLine="567"/>
        <w:jc w:val="both"/>
      </w:pPr>
      <w:r>
        <w:rPr>
          <w:rFonts w:ascii="Arial" w:cs="Arial" w:eastAsia="Arial" w:hAnsi="Arial"/>
          <w:sz w:val="24"/>
          <w:szCs w:val="24"/>
        </w:rPr>
        <w:t xml:space="preserve">Политика в сфере пенсионного обеспечения будет реализовываться в рамках Концепции развития системы пенсионного обеспечения Кыргызской Республики, утвержденной постановлением Правительства Кыргызской Республики от 24 ноября 2014 года № 670. 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2021-2022 годах будут складываться следующим образом.</w:t>
      </w:r>
    </w:p>
    <w:p>
      <w:pPr>
        <w:spacing w:after="60"/>
        <w:ind w:firstLine="567"/>
        <w:jc w:val="both"/>
      </w:pPr>
      <w:r>
        <w:rPr>
          <w:rFonts w:ascii="Arial" w:cs="Arial" w:eastAsia="Arial" w:hAnsi="Arial"/>
          <w:sz w:val="24"/>
          <w:szCs w:val="24"/>
        </w:rPr>
        <w:t xml:space="preserve">Номинальный прирост денежных доходов населения в 2021-2022 годах прогнозируется в среднем на уровне 5,0%. В структуре денежных доходов номинальный размер средней заработной платы возрастет в среднем на 5,1% и составит в 2022 году 19506,8 сома.</w:t>
      </w:r>
    </w:p>
    <w:p>
      <w:pPr>
        <w:spacing w:after="60"/>
        <w:ind w:firstLine="567"/>
        <w:jc w:val="both"/>
      </w:pPr>
      <w:r>
        <w:rPr>
          <w:rFonts w:ascii="Arial" w:cs="Arial" w:eastAsia="Arial" w:hAnsi="Arial"/>
          <w:sz w:val="24"/>
          <w:szCs w:val="24"/>
        </w:rPr>
        <w:t xml:space="preserve">Прирост объема ВВП на душу населения в среднем в 2021-2022 годах составит 5,4%.</w:t>
      </w:r>
    </w:p>
    <w:p>
      <w:pPr>
        <w:spacing w:after="60"/>
        <w:ind w:firstLine="567"/>
        <w:jc w:val="both"/>
      </w:pPr>
      <w:r>
        <w:rPr>
          <w:rFonts w:ascii="Arial" w:cs="Arial" w:eastAsia="Arial" w:hAnsi="Arial"/>
          <w:sz w:val="24"/>
          <w:szCs w:val="24"/>
        </w:rPr>
        <w:t xml:space="preserve">Размер прожиточного минимума увеличится с 5083,9 сома - в 2020 году до 5551,8 сома - к 2022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3,14 к 2022 году.</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2020 года на 5,6% и составит в 2022 году 6360,0 сомов.</w:t>
      </w:r>
    </w:p>
    <w:p>
      <w:pPr>
        <w:spacing w:after="60"/>
        <w:ind w:firstLine="567"/>
        <w:jc w:val="both"/>
      </w:pPr>
      <w:r>
        <w:rPr>
          <w:rFonts w:ascii="Arial" w:cs="Arial" w:eastAsia="Arial" w:hAnsi="Arial"/>
          <w:sz w:val="24"/>
          <w:szCs w:val="24"/>
        </w:rPr>
        <w:t xml:space="preserve">Прогнозируемый уровень общей безработицы снизится и составит к 2022 году 5,9% относительно 6,9% фактически сложившегося уровня в 2017 году.</w:t>
      </w:r>
    </w:p>
    <w:p>
      <w:pPr>
        <w:spacing w:after="60"/>
        <w:ind w:firstLine="567"/>
        <w:jc w:val="both"/>
      </w:pPr>
      <w:r>
        <w:rPr>
          <w:rFonts w:ascii="Arial" w:cs="Arial" w:eastAsia="Arial" w:hAnsi="Arial"/>
          <w:sz w:val="24"/>
          <w:szCs w:val="24"/>
        </w:rPr>
        <w:t xml:space="preserve">Уровень бедности к 2022 году прогнозируется в размере 25,0% и снизится на 0,6 процентных пункта по сравнению с фактически сложившимся в 2017 году.</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2020-2022 годах экономическая политика и эффективная реализация заявленных мер в программных документах Правительства позволит обеспечить макроэкономическую стабильность в стране и сохранение положительной динамики экономического роста, которая будет поддерживаться со стороны всех отраслей экономики, формирующих ВВП страны. В среднесрочной перспективе на 2020-2022 годы экономический рост прогнозируется в среднем на 4,1% в год.</w:t>
      </w:r>
    </w:p>
    <w:p>
      <w:pPr>
        <w:spacing w:after="6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Правительством, при необходимости, будет разработана система мер, направленная на смягчение возможного шокового воздействия на экономику от негативных процессов и дисбалансов/рисков, связанных с ухудшением мировой конъюнктуры.</w:t>
      </w:r>
    </w:p>
    <w:p>
      <w:pPr>
        <w:spacing w:after="60"/>
        <w:ind w:firstLine="567"/>
        <w:jc w:val="both"/>
      </w:pPr>
      <w:r>
        <w:rPr>
          <w:rFonts w:ascii="Arial" w:cs="Arial" w:eastAsia="Arial" w:hAnsi="Arial"/>
          <w:sz w:val="24"/>
          <w:szCs w:val="24"/>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с появлением новых факторов, направленных на снижение/роста ожидаемых показателей социально-экономического развития в 2019 году, прогнозируемые макроэкономические показатели на 2020-2022 годы будут скорректированы.</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1-14 к настоящему Среднесрочному прогнозу социально-экономического развития Кыргызской Республики на 2020-2022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Данные статистических комитетов государств-членов ЕАЭС и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(2) Информация и данные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(3) Данные Европейской комиссии, Международного валютного фонда (World Economic Outlook Update, April 2019), Всемирного банка.</w:t>
      </w:r>
    </w:p>
    <w:p>
      <w:pPr>
        <w:spacing w:after="60"/>
        <w:ind w:firstLine="567"/>
        <w:jc w:val="both"/>
      </w:pPr>
      <w:r>
        <w:rPr>
          <w:rFonts w:ascii="Arial" w:cs="Arial" w:eastAsia="Arial" w:hAnsi="Arial"/>
          <w:sz w:val="24"/>
          <w:szCs w:val="24"/>
        </w:rPr>
        <w:t xml:space="preserve">(4) Данные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(5) Данные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(6) Данные Министерства экономического развития Российской Федерации.</w:t>
      </w:r>
    </w:p>
    <w:p>
      <w:pPr>
        <w:spacing w:after="60"/>
        <w:ind w:firstLine="567"/>
        <w:jc w:val="both"/>
      </w:pPr>
      <w:r>
        <w:rPr>
          <w:rFonts w:ascii="Arial" w:cs="Arial" w:eastAsia="Arial" w:hAnsi="Arial"/>
          <w:sz w:val="24"/>
          <w:szCs w:val="24"/>
        </w:rPr>
        <w:t xml:space="preserve">(7) Данные Министерства национальной экономики Республики Казахстан.</w:t>
      </w:r>
    </w:p>
    <w:p>
      <w:pPr>
        <w:spacing w:after="60"/>
        <w:ind w:firstLine="567"/>
        <w:jc w:val="both"/>
      </w:pPr>
      <w:r>
        <w:rPr>
          <w:rFonts w:ascii="Arial" w:cs="Arial" w:eastAsia="Arial" w:hAnsi="Arial"/>
          <w:sz w:val="24"/>
          <w:szCs w:val="24"/>
        </w:rPr>
        <w:t xml:space="preserve">(8) Расчет ВВП по регионам за 2018 год осуществлен на основе оценок Министерства экономики Кыргызской Республики.</w:t>
      </w:r>
    </w:p>
    <w:p>
      <w:pPr>
        <w:spacing w:after="60"/>
        <w:ind w:firstLine="567"/>
        <w:jc w:val="both"/>
      </w:pPr>
      <w:r>
        <w:rPr>
          <w:rFonts w:ascii="Arial" w:cs="Arial" w:eastAsia="Arial" w:hAnsi="Arial"/>
          <w:sz w:val="24"/>
          <w:szCs w:val="24"/>
        </w:rPr>
        <w:t xml:space="preserve">(9)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(10) Без учета стоимости давальческого сырья.</w:t>
      </w:r>
    </w:p>
    <w:p>
      <w:pPr>
        <w:spacing w:after="60"/>
        <w:ind w:firstLine="567"/>
        <w:jc w:val="both"/>
      </w:pPr>
      <w:r>
        <w:rPr>
          <w:rFonts w:ascii="Arial" w:cs="Arial" w:eastAsia="Arial" w:hAnsi="Arial"/>
          <w:sz w:val="24"/>
          <w:szCs w:val="24"/>
        </w:rPr>
        <w:t xml:space="preserve">(11)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(12) По оценкам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Основные социально-экономические показатели развития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8"/>
        <w:gridCol w:w="1467"/>
        <w:gridCol w:w="1103"/>
        <w:gridCol w:w="1024"/>
        <w:gridCol w:w="1038"/>
        <w:gridCol w:w="1024"/>
        <w:gridCol w:w="1024"/>
      </w:tblGrid>
      <w:tr>
        <w:tc>
          <w:tcPr>
            <w:tcW w:type="dxa" w:w="34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r>
              <w:rPr>
                <w:rFonts w:ascii="Arial" w:cs="Arial" w:eastAsia="Arial" w:hAnsi="Arial"/>
                <w:b/>
                <w:bCs/>
                <w:sz w:val="24"/>
                <w:szCs w:val="24"/>
              </w:rPr>
              <w:t xml:space="preserve">(</w:t>
            </w:r>
            <w:r>
              <w:rPr>
                <w:rFonts w:ascii="Arial" w:cs="Arial" w:eastAsia="Arial" w:hAnsi="Arial"/>
                <w:b/>
                <w:bCs/>
                <w:sz w:val="24"/>
                <w:szCs w:val="24"/>
              </w:rPr>
              <w:t xml:space="preserve">1</w:t>
            </w:r>
            <w:r>
              <w:rPr>
                <w:rFonts w:ascii="Arial" w:cs="Arial" w:eastAsia="Arial" w:hAnsi="Arial"/>
                <w:b/>
                <w:bCs/>
                <w:sz w:val="24"/>
                <w:szCs w:val="24"/>
              </w:rPr>
              <w:t xml:space="preserve">)</w:t>
            </w:r>
            <w:r>
              <w:rPr>
                <w:rFonts w:ascii="Arial" w:cs="Arial" w:eastAsia="Arial" w:hAnsi="Arial"/>
                <w:b/>
                <w:bCs/>
                <w:sz w:val="24"/>
                <w:szCs w:val="24"/>
              </w:rPr>
              <w:t xml:space="preserve">:</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595900,3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635071,6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678695,2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736381,1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103845,9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112250,6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117455,5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122928,2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134842,5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64897,1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67558,4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70880,0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74992,9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79876,2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49149,5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54459,3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60616,8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67017,2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73994,3</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260846,9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277801,6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296778,4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318279,0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344075,0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78373,9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83830,4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89341,0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95477,9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103593,0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509140,4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543981,9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583754,1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628119,8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678648,8</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552394,1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590702,6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629872,5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675112,7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734162,5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460228,1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495849,6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530619,7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570442,2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623893,0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92166,0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94853,0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99252,8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104670,5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110269,5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инвестиции(3)</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204139,7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222043,8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245462,8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271846,1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301046,2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42456,0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38125,4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35578,1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33616,8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35773,5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(ГИ)</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21662,1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19633,0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17930,7</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161683,8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183918,4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209884,7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238229,3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265272,7</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-199420,6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-216846,1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- 240263,6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-268263,6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-298827,6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184214,9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194107,6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205928,5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220380,2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241439,4</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383635,4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410953,7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446192,2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488643,8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540267,0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Социальные показатели</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1545,3</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бедности(4)</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населения(4)</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369478,1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385365,6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402707,1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422439,7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443984,1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4888,4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5551,8</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5465,1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6206,7</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4368,6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4961,5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6189,4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6600,4</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(без учета малых предприятий)</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16882,9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17676,4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18595,6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19506,8</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314,3</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пенсий(5)</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5735,0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6360,0</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Трудовые ресурсы(6)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2567,5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2671,6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2408,0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2527,9</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313,7</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591,5</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293,2</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1329,4</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r>
      <w:tr>
        <w:tc>
          <w:tcPr>
            <w:tcW w:type="dxa" w:w="3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Структура производства и конечного использования ВВП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1"/>
        <w:gridCol w:w="1140"/>
        <w:gridCol w:w="902"/>
        <w:gridCol w:w="985"/>
        <w:gridCol w:w="985"/>
        <w:gridCol w:w="985"/>
      </w:tblGrid>
      <w:tr>
        <w:tc>
          <w:tcPr>
            <w:tcW w:type="dxa" w:w="51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Национальные счета </w:t>
            </w:r>
            <w:r>
              <w:rPr>
                <w:rFonts w:ascii="Arial" w:cs="Arial" w:eastAsia="Arial" w:hAnsi="Arial"/>
                <w:b/>
                <w:bCs/>
                <w:sz w:val="24"/>
                <w:szCs w:val="24"/>
              </w:rPr>
              <w:t xml:space="preserve">(</w:t>
            </w:r>
            <w:r>
              <w:rPr>
                <w:rFonts w:ascii="Arial" w:cs="Arial" w:eastAsia="Arial" w:hAnsi="Arial"/>
                <w:b/>
                <w:bCs/>
                <w:sz w:val="24"/>
                <w:szCs w:val="24"/>
              </w:rPr>
              <w:t xml:space="preserve">% от ВВП)</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(ГИ)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r>
      <w:tr>
        <w:tc>
          <w:tcPr>
            <w:tcW w:type="dxa" w:w="5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Валовая продукция и темпы роста в отраслях Кыргызской Республики, формирующих ВВП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0"/>
        <w:gridCol w:w="1272"/>
        <w:gridCol w:w="1207"/>
        <w:gridCol w:w="1207"/>
        <w:gridCol w:w="1207"/>
        <w:gridCol w:w="1207"/>
      </w:tblGrid>
      <w:tr>
        <w:tc>
          <w:tcPr>
            <w:tcW w:type="dxa" w:w="40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 </w:t>
            </w:r>
            <w:r>
              <w:rPr>
                <w:rFonts w:ascii="Arial" w:cs="Arial" w:eastAsia="Arial" w:hAnsi="Arial"/>
                <w:sz w:val="24"/>
                <w:szCs w:val="24"/>
              </w:rPr>
              <w:t xml:space="preserve">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203822,6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212181,0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222613,0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235530,5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250867,6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Промышленность(8),</w:t>
            </w:r>
            <w:r>
              <w:rPr>
                <w:rFonts w:ascii="Arial" w:cs="Arial" w:eastAsia="Arial" w:hAnsi="Arial"/>
                <w:sz w:val="24"/>
                <w:szCs w:val="24"/>
              </w:rPr>
              <w:t xml:space="preserve">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250486,0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269833,1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282345,0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295500,5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324140,7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Промышленность(9), </w:t>
            </w:r>
            <w:r>
              <w:rPr>
                <w:rFonts w:ascii="Arial" w:cs="Arial" w:eastAsia="Arial" w:hAnsi="Arial"/>
                <w:sz w:val="24"/>
                <w:szCs w:val="24"/>
              </w:rPr>
              <w:t xml:space="preserve">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250640,1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269714,8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281984,9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294701,0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323005,1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23929,9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25018,3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204990,4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213421,2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222592,1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247126,6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38337,8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39713,6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44720,5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47197,6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3662,6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148443,9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159113,5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172663,6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186960,8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200018,7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r>
              <w:rPr>
                <w:rFonts w:ascii="Arial" w:cs="Arial" w:eastAsia="Arial" w:hAnsi="Arial"/>
                <w:sz w:val="24"/>
                <w:szCs w:val="24"/>
              </w:rPr>
              <w:t xml:space="preserve">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153256,9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169128,2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188250,8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208128,1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229795,8</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w:t>
            </w:r>
            <w:r>
              <w:rPr>
                <w:rFonts w:ascii="Arial" w:cs="Arial" w:eastAsia="Arial" w:hAnsi="Arial"/>
                <w:sz w:val="24"/>
                <w:szCs w:val="24"/>
              </w:rPr>
              <w:t xml:space="preserve">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443688,8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468543,2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500549,7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536812,7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580320,6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160626,4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172310,9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186872,0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203055,5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222689,3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47849,0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61215,5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26211,6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31133,9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34286,9</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29836,4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33824,8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36033,5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сельского хозяйства, лесного хозяйства и рыболовства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7"/>
        <w:gridCol w:w="1325"/>
        <w:gridCol w:w="1207"/>
        <w:gridCol w:w="1207"/>
        <w:gridCol w:w="1207"/>
        <w:gridCol w:w="1207"/>
      </w:tblGrid>
      <w:tr>
        <w:tc>
          <w:tcPr>
            <w:tcW w:type="dxa" w:w="40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 </w:t>
            </w:r>
            <w:r>
              <w:rPr>
                <w:rFonts w:ascii="Arial" w:cs="Arial" w:eastAsia="Arial" w:hAnsi="Arial"/>
                <w:sz w:val="24"/>
                <w:szCs w:val="24"/>
              </w:rPr>
              <w:t xml:space="preserve">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203822,6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212181,0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222613,0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235530,5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250867,6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Растениеводство, </w:t>
            </w:r>
            <w:r>
              <w:rPr>
                <w:rFonts w:ascii="Arial" w:cs="Arial" w:eastAsia="Arial" w:hAnsi="Arial"/>
                <w:sz w:val="24"/>
                <w:szCs w:val="24"/>
              </w:rPr>
              <w:t xml:space="preserve">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100366,0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105016,5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111291,2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119224,6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128654,2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27794,6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28262,4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31492,1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1924,0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2557,50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2682,8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4108,8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17576,8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18330,0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19673,2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26124,9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27290,8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28810,2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30676,9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3690,8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11935,7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17037,2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22940,2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Животноводство, </w:t>
            </w:r>
            <w:r>
              <w:rPr>
                <w:rFonts w:ascii="Arial" w:cs="Arial" w:eastAsia="Arial" w:hAnsi="Arial"/>
                <w:sz w:val="24"/>
                <w:szCs w:val="24"/>
              </w:rPr>
              <w:t xml:space="preserve">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98340,5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102001,5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106126,2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111058,1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116906,7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59898,0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61791,9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63857,3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66478,6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69574,8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34453,1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36130,5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38088,4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40342,0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1754,0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4638,1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w:t>
            </w:r>
            <w:r>
              <w:rPr>
                <w:rFonts w:ascii="Arial" w:cs="Arial" w:eastAsia="Arial" w:hAnsi="Arial"/>
                <w:sz w:val="24"/>
                <w:szCs w:val="24"/>
              </w:rPr>
              <w:t xml:space="preserve"> (с учетом вычета коммунальных услуг),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4694,4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4741,4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4774,0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4826,2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4885,0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Охота,</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Лесное хозяйство, </w:t>
            </w:r>
            <w:r>
              <w:rPr>
                <w:rFonts w:ascii="Arial" w:cs="Arial" w:eastAsia="Arial" w:hAnsi="Arial"/>
                <w:sz w:val="24"/>
                <w:szCs w:val="24"/>
              </w:rPr>
              <w:t xml:space="preserve">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Рыбоводство, рыболовство,</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2020-2022 годы, с учетом стоимости переработки давальческого сырья, но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3"/>
        <w:gridCol w:w="1258"/>
        <w:gridCol w:w="1207"/>
        <w:gridCol w:w="1207"/>
        <w:gridCol w:w="1207"/>
        <w:gridCol w:w="1207"/>
      </w:tblGrid>
      <w:tr>
        <w:tc>
          <w:tcPr>
            <w:tcW w:type="dxa" w:w="40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250486,0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269833,1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282345,0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295500,5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324140,7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148289,8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159231,8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173023,7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187760,3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201154,3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25018,4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3817,8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15418,8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216913,5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226506,3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237099,1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262957,0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36609,4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38528,6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41075,5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44174,5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47969,0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15398,2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17877,3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2609,5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2666,4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17333,9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19963,5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25382,2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21266,4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22607,5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111284,6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120714,0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121686,4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122632,8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139435,9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Обеспечение (снабжение) электроэнергией, газом, паром и кондиционированным воздухом,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27182,2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29617,1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31014,0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32503,5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3661,8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2020-2022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3"/>
        <w:gridCol w:w="1258"/>
        <w:gridCol w:w="1207"/>
        <w:gridCol w:w="1207"/>
        <w:gridCol w:w="1207"/>
        <w:gridCol w:w="1207"/>
      </w:tblGrid>
      <w:tr>
        <w:tc>
          <w:tcPr>
            <w:tcW w:type="dxa" w:w="40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250640,1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269714,8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281984,9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294701,0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323005,1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148443,9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159113,5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172663,6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186960,8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200018,7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23929,9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25018,3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3817,8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15418,7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204990,4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213421,2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222592,1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247126,6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30962,6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35499,8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38549,1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15438,9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21781,3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21727,8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22590,1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111284,7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120714,0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121686,5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122632,8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139435,9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38337,8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39713,6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44720,5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47197,6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3662,6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производства натуральных видов продукции промышленности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3"/>
        <w:gridCol w:w="1179"/>
        <w:gridCol w:w="1101"/>
        <w:gridCol w:w="1158"/>
        <w:gridCol w:w="1158"/>
        <w:gridCol w:w="1158"/>
      </w:tblGrid>
      <w:tr>
        <w:tc>
          <w:tcPr>
            <w:tcW w:type="dxa" w:w="4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2306,4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аз природный, млн. м</w:t>
            </w: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Руды и концентраты золотосодержащие,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40955,6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41155,3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42067,6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43280,1</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11458,3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11572,9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11688,6</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2480,2</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4110,6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4151,7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4193,2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4277,5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12618,5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12744,7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12872,2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13130,9</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из свежего винограда (кроме игристого); виноградное сусло,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8157,6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9867,4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11615,9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13297,9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15438,9</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219,9</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15619,7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15336,3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15986,2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16463,8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16714,7</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bl>
    <w:p>
      <w:pPr>
        <w:spacing w:after="60" w:before="120"/>
        <w:ind w:firstLine="567"/>
        <w:jc w:val="both"/>
      </w:pPr>
      <w:r>
        <w:rPr>
          <w:rFonts w:ascii="Arial" w:cs="Arial" w:eastAsia="Arial" w:hAnsi="Arial"/>
          <w:sz w:val="24"/>
          <w:szCs w:val="24"/>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7-1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производства золота(10)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8"/>
        <w:gridCol w:w="1347"/>
        <w:gridCol w:w="1144"/>
        <w:gridCol w:w="1176"/>
        <w:gridCol w:w="1176"/>
        <w:gridCol w:w="1176"/>
      </w:tblGrid>
      <w:tr>
        <w:tc>
          <w:tcPr>
            <w:tcW w:type="dxa" w:w="41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Производство золота, сплав Доре, кг</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20363,9</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21707,2</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22829,1</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24001,5</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27374,0</w:t>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 "Кумтор Голд Компани"</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16626,8</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17573,5</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17106,9</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16484,8</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18817,6</w:t>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сферы услуг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0"/>
        <w:gridCol w:w="1280"/>
        <w:gridCol w:w="1207"/>
        <w:gridCol w:w="1207"/>
        <w:gridCol w:w="1207"/>
        <w:gridCol w:w="1207"/>
      </w:tblGrid>
      <w:tr>
        <w:tc>
          <w:tcPr>
            <w:tcW w:type="dxa" w:w="40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443688,8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468543,2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500549,7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536812,7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580320,6</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160626,4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172310,9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186872,0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203055,5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222689,3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Транспортная деятельность и хранение грузов, </w:t>
            </w:r>
            <w:r>
              <w:rPr>
                <w:rFonts w:ascii="Arial" w:cs="Arial" w:eastAsia="Arial" w:hAnsi="Arial"/>
                <w:sz w:val="24"/>
                <w:szCs w:val="24"/>
              </w:rPr>
              <w:t xml:space="preserve">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47849,0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61215,5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26211,6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31133,9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34286,9</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29836,4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33824,8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36033,5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Финансовое посредничество и страхование,</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25721,4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26865,0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27772,2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28893,5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Операции с недвижимым имуществом,</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23567,2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24458,8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25568,0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научная и техническая деятельность,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16785,8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19060,9</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Административная и вспомогательная деятельность,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4728,0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управление и оборона; обязательное социальное обеспечение,</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42782,9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45113,4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47937,5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50841,4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54681,7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38952,6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43627,4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46620,8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50180,3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 и социальное обслуживание населения,</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19427,0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19788,2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20456,4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21491,5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Искусство, развлечения и отдых,</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6257,5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Прочая обслуживающая деятельность,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13381,0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15234,0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объема оказанных рыночных услуг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9"/>
        <w:gridCol w:w="1323"/>
        <w:gridCol w:w="1207"/>
        <w:gridCol w:w="1207"/>
        <w:gridCol w:w="1207"/>
        <w:gridCol w:w="1207"/>
      </w:tblGrid>
      <w:tr>
        <w:tc>
          <w:tcPr>
            <w:tcW w:type="dxa" w:w="402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724924,2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770344,9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827937,1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892507,5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970272,4</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 </w:t>
            </w:r>
            <w:r>
              <w:rPr>
                <w:rFonts w:ascii="Arial" w:cs="Arial" w:eastAsia="Arial" w:hAnsi="Arial"/>
                <w:sz w:val="24"/>
                <w:szCs w:val="24"/>
              </w:rPr>
              <w:t xml:space="preserve">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553623,1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591025,2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637891,0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689810,2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752898,2</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 </w:t>
            </w:r>
            <w:r>
              <w:rPr>
                <w:rFonts w:ascii="Arial" w:cs="Arial" w:eastAsia="Arial" w:hAnsi="Arial"/>
                <w:sz w:val="24"/>
                <w:szCs w:val="24"/>
              </w:rPr>
              <w:t xml:space="preserve">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23834,2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25641,9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30224,3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33158,4</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35257,3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37958,4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40437,1</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w:t>
            </w:r>
            <w:r>
              <w:rPr>
                <w:rFonts w:ascii="Arial" w:cs="Arial" w:eastAsia="Arial" w:hAnsi="Arial"/>
                <w:sz w:val="24"/>
                <w:szCs w:val="24"/>
              </w:rPr>
              <w:t xml:space="preserve"> 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115052,6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120195,1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126961,1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134514,6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143778,7</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объема инвестиций в основной капитал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62"/>
        <w:gridCol w:w="1288"/>
        <w:gridCol w:w="1207"/>
        <w:gridCol w:w="1207"/>
        <w:gridCol w:w="1207"/>
        <w:gridCol w:w="1207"/>
      </w:tblGrid>
      <w:tr>
        <w:tc>
          <w:tcPr>
            <w:tcW w:type="dxa" w:w="40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 </w:t>
            </w:r>
            <w:r>
              <w:rPr>
                <w:rFonts w:ascii="Arial" w:cs="Arial" w:eastAsia="Arial" w:hAnsi="Arial"/>
                <w:sz w:val="24"/>
                <w:szCs w:val="24"/>
              </w:rPr>
              <w:t xml:space="preserve">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150825,9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172704,5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189202,3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210782,4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234011,6</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Внутренние инвестиции,</w:t>
            </w:r>
            <w:r>
              <w:rPr>
                <w:rFonts w:ascii="Arial" w:cs="Arial" w:eastAsia="Arial" w:hAnsi="Arial"/>
                <w:sz w:val="24"/>
                <w:szCs w:val="24"/>
              </w:rPr>
              <w:t xml:space="preserve">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108612,9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119010,9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133695,4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144288,7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158182,7</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 (включая средства на чрезвычайные ситуации),</w:t>
            </w:r>
            <w:r>
              <w:rPr>
                <w:rFonts w:ascii="Arial" w:cs="Arial" w:eastAsia="Arial" w:hAnsi="Arial"/>
                <w:sz w:val="24"/>
                <w:szCs w:val="24"/>
              </w:rPr>
              <w:t xml:space="preserve">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1604,7</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56249,2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61198,5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67620,9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72735,6</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9654,3</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44477,3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50962,8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58812,7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62073,4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69188,1</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Внешние инвестиции,</w:t>
            </w:r>
            <w:r>
              <w:rPr>
                <w:rFonts w:ascii="Arial" w:cs="Arial" w:eastAsia="Arial" w:hAnsi="Arial"/>
                <w:sz w:val="24"/>
                <w:szCs w:val="24"/>
              </w:rPr>
              <w:t xml:space="preserve">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42213,0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53693,6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55506,9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66493,7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75828,9</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41483,4</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18197,3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18053,7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19168,4</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11849,5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15177,1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экспорта и импорта товаров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4"/>
        <w:gridCol w:w="1777"/>
        <w:gridCol w:w="1185"/>
        <w:gridCol w:w="1028"/>
        <w:gridCol w:w="1165"/>
        <w:gridCol w:w="1165"/>
        <w:gridCol w:w="1165"/>
      </w:tblGrid>
      <w:tr>
        <w:tc>
          <w:tcPr>
            <w:tcW w:type="dxa" w:w="269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2475,0</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4907,4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5472,2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5780,2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6100,7</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-3142,8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-3372,2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-3530,2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-3625,7</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6672,0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7572,2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8030,2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8575,7</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экспорта основных видов продукции из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715"/>
        <w:gridCol w:w="1148"/>
        <w:gridCol w:w="1011"/>
        <w:gridCol w:w="1162"/>
        <w:gridCol w:w="1162"/>
        <w:gridCol w:w="1162"/>
      </w:tblGrid>
      <w:tr>
        <w:tc>
          <w:tcPr>
            <w:tcW w:type="dxa" w:w="28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Экспорт товаров</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1764,6</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989,7</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1128,7</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bl>
    <w:p>
      <w:pPr>
        <w:spacing w:after="60" w:before="120"/>
        <w:ind w:firstLine="567"/>
        <w:jc w:val="both"/>
      </w:pPr>
      <w:r>
        <w:rPr>
          <w:rFonts w:ascii="Arial" w:cs="Arial" w:eastAsia="Arial" w:hAnsi="Arial"/>
          <w:sz w:val="24"/>
          <w:szCs w:val="24"/>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импорта основных товаров в Кыргызскую Республику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2"/>
        <w:gridCol w:w="1594"/>
        <w:gridCol w:w="1077"/>
        <w:gridCol w:w="981"/>
        <w:gridCol w:w="1154"/>
        <w:gridCol w:w="1154"/>
        <w:gridCol w:w="1154"/>
      </w:tblGrid>
      <w:tr>
        <w:tc>
          <w:tcPr>
            <w:tcW w:type="dxa" w:w="30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товаров всего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4907,4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5472,2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5780,2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759,5</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Древесина и изделия из нее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и табачные изделия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Среднесрочные прогнозные показатели развития регионов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4"/>
        <w:gridCol w:w="1445"/>
        <w:gridCol w:w="1302"/>
        <w:gridCol w:w="1302"/>
        <w:gridCol w:w="1302"/>
        <w:gridCol w:w="1302"/>
      </w:tblGrid>
      <w:tr>
        <w:tc>
          <w:tcPr>
            <w:tcW w:type="dxa" w:w="35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w:t>
            </w:r>
            <w:r>
              <w:rPr>
                <w:rFonts w:ascii="Arial" w:cs="Arial" w:eastAsia="Arial" w:hAnsi="Arial"/>
                <w:sz w:val="24"/>
                <w:szCs w:val="24"/>
              </w:rPr>
              <w:t xml:space="preserve"> (млн. сомов)(11)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557113,3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595900,2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635071,6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678695,2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736381,1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20396,9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22931,6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64415,4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68709,8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74638,6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80630,2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63914,6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71287,0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73162,3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83979,4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17624,1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42882,2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45862,8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52935,8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20256,8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101373,0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107667,0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114807,5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124398,1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212750,4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227679,5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243716,9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262749,7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282987,5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37972,4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41027,5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44764,2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w:t>
            </w:r>
            <w:r>
              <w:rPr>
                <w:rFonts w:ascii="Arial" w:cs="Arial" w:eastAsia="Arial" w:hAnsi="Arial"/>
                <w:sz w:val="24"/>
                <w:szCs w:val="24"/>
              </w:rPr>
              <w:t xml:space="preserve">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203822,6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212181,0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222613,0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235530,5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250867,6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17363,5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18313,3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40756,9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42697,1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45429,1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48476,5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51778,2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23689,5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26300,8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27956,6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15923,1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41048,5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42868,6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45034,5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47728,8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50831,1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18155,6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18879,2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19912,2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21578,8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51608,0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53529,5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55960,3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59112,3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62883,3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w:t>
            </w:r>
            <w:r>
              <w:rPr>
                <w:rFonts w:ascii="Arial" w:cs="Arial" w:eastAsia="Arial" w:hAnsi="Arial"/>
                <w:sz w:val="24"/>
                <w:szCs w:val="24"/>
              </w:rPr>
              <w:t xml:space="preserve"> (с учетом стоимости переработки давальческого сырья, без учета покупной электроэнергии)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250486,0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269833,1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282345,0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295500,5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324140,7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3632,8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30168,0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32926,2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36070,4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38592,6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40456,2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46242,1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50240,4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49652,2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49016,4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57271,9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4085,9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15517,0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108973,8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116600,1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121914,4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127853,3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140761,7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41398,5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44580,7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47423,9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50616,0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54075,8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6760,7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продукции промышленности</w:t>
            </w:r>
            <w:r>
              <w:rPr>
                <w:rFonts w:ascii="Arial" w:cs="Arial" w:eastAsia="Arial" w:hAnsi="Arial"/>
                <w:sz w:val="24"/>
                <w:szCs w:val="24"/>
              </w:rPr>
              <w:t xml:space="preserve"> (без учета стоимости переработки давальческого сырья, но с учетом покупной электроэнергии)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250640,1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269714,8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281984,9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294701,0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323005,1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3959,0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25836,7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33061,3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34558,9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50899,6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55250,3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54440,6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63397,7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3167,2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3453,6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11889,1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113984,2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121901,4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127447,9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133994,8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146958,9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39265,8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44725,4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47677,3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50772,7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5399,4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6377,0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сомов)(12)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443688,8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468543,2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500549,7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536812,7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580320,6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14708,7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15974,4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18019,4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47908,3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50331,3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53292,8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61250,1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23443,5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27592,3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30056,6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13194,6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33366,3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35536,0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38177,0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41212,7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12588,1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14967,9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50050,4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52225,4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55398,0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58884,6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63040,8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216295,4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229362,5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246515,4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266023,1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288021,8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37377,7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39730,6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42765,8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46077,4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50556,8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оптовой и розничной торговли; ремонт автомобилей и мотоциклов</w:t>
            </w:r>
            <w:r>
              <w:rPr>
                <w:rFonts w:ascii="Arial" w:cs="Arial" w:eastAsia="Arial" w:hAnsi="Arial"/>
                <w:sz w:val="24"/>
                <w:szCs w:val="24"/>
              </w:rPr>
              <w:t xml:space="preserve"> (млн. сомов)(12)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160626,4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172310,9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186872,0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203055,5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222689,3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3578,7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4679,9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22791,9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26809,6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7309,8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8379,2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9086,2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17707,2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21035,3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5207,4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5566,0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23346,8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29301,0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71039,3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76666,9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83948,6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91700,3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100989,5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20821,7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724924,2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770570,3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828180,4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894070,0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971909,9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17737,7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19417,8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20678,8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22257,9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74881,1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79200,2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90007,4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97698,6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29314,1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33066,6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35075,6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38242,1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12980,5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48693,1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55821,5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60260,4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65177,6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19266,7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20479,8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21720,9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90984,2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95124,0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100905,0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107257,1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115537,1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372600,3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398202,9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431006,5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467800,9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509479,2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63515,5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67773,6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80415,9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88815,9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553623,1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591025,2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637891,0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689810,2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752898,2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16232,5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17287,2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18661,3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63689,9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67489,6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71944,9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77218,1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84300,5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26820,2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10491,3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44085,5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47407,5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50929,9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55191,8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59925,0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19024,7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76861,0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80513,6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85748,2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91323,8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98964,4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257529,9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276580,0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301357,6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327609,2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358146,2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53675,0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57711,4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62715,9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76564,6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строительства</w:t>
            </w:r>
            <w:r>
              <w:rPr>
                <w:rFonts w:ascii="Arial" w:cs="Arial" w:eastAsia="Arial" w:hAnsi="Arial"/>
                <w:sz w:val="24"/>
                <w:szCs w:val="24"/>
              </w:rPr>
              <w:t xml:space="preserve">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153256,9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169128,2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188250,8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208128,1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229795,9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24361,4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25884,3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31924,1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38083,7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41527,9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19928,8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29551,6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36003,5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7168,6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10869,5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12221,7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3522,3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22306,4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24616,5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27399,7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30292,8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34446,6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64730,5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70371,9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73356,8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75634,1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79744,7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7848,9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10676,4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инвестиций в основной капитал</w:t>
            </w:r>
            <w:r>
              <w:rPr>
                <w:rFonts w:ascii="Arial" w:cs="Arial" w:eastAsia="Arial" w:hAnsi="Arial"/>
                <w:sz w:val="24"/>
                <w:szCs w:val="24"/>
              </w:rPr>
              <w:t xml:space="preserve"> (млн.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150825,9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172704,5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189202,3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210782,4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234011,6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3015,8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4339,1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28024,1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38383,5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42090,6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25038,2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29670,2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29408,9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33331,6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35025,5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8878,0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13987,5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28013,9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20617,7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23863,6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25665,2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58577,2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62074,3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69039,1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71040,2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75775,5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5397,2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7135,7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10738,2</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в экономике, тыс. чел.</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2444,1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2527,9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Созданные рабочие места, единиц</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96500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97750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99100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26639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общей безработицы, %</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оплата труда</w:t>
            </w:r>
            <w:r>
              <w:rPr>
                <w:rFonts w:ascii="Arial" w:cs="Arial" w:eastAsia="Arial" w:hAnsi="Arial"/>
                <w:sz w:val="24"/>
                <w:szCs w:val="24"/>
              </w:rPr>
              <w:t xml:space="preserve">(13), сомов</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17676,4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18595,6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19506,8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11303,0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12320,5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13674,3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15363,5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16138,6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17015,0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17965,8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13363,4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15078,8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15248,0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16704,2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17665,8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18609,5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11975,6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12601,4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14857,9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15644,5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15549,2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16315,4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18160,8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24695,0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25963,5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14251,0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15643,6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16494,3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17341,5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Прожиточный минимум, сом.</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5551,8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4855,2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5003,8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5229,9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5606,5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4376,3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4443,8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4531,6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4743,8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4715,0</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4779,3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4995,4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5125,2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5122,6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5215,1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5363,7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5530,4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5713,8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4515,5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4684,9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4758,1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4868,4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5002,4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5162,5</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4811,5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4933,9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5234,9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5056,6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5127,7</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5614,9</w:t>
            </w:r>
          </w:p>
        </w:tc>
      </w:tr>
      <w:tr>
        <w:tc>
          <w:tcPr>
            <w:tcW w:type="dxa" w:w="3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bl>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(2)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(3) По методике Международного валютного фонда.</w:t>
      </w:r>
    </w:p>
    <w:p>
      <w:pPr>
        <w:spacing w:after="60"/>
        <w:ind w:firstLine="567"/>
        <w:jc w:val="both"/>
      </w:pPr>
      <w:r>
        <w:rPr>
          <w:rFonts w:ascii="Arial" w:cs="Arial" w:eastAsia="Arial" w:hAnsi="Arial"/>
          <w:sz w:val="24"/>
          <w:szCs w:val="24"/>
        </w:rPr>
        <w:t xml:space="preserve">(4)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(5) Данные Социального фонда Кыргызской Республики.</w:t>
      </w:r>
    </w:p>
    <w:p>
      <w:pPr>
        <w:spacing w:after="60"/>
        <w:ind w:firstLine="567"/>
        <w:jc w:val="both"/>
      </w:pPr>
      <w:r>
        <w:rPr>
          <w:rFonts w:ascii="Arial" w:cs="Arial" w:eastAsia="Arial" w:hAnsi="Arial"/>
          <w:sz w:val="24"/>
          <w:szCs w:val="24"/>
        </w:rPr>
        <w:t xml:space="preserve">(6)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(7)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(8)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(9)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(10)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(11) Оценка Министерства экономики Кыргызской Республики за 2018 год.</w:t>
      </w:r>
    </w:p>
    <w:p>
      <w:pPr>
        <w:spacing w:after="60"/>
        <w:ind w:firstLine="567"/>
        <w:jc w:val="both"/>
      </w:pPr>
      <w:r>
        <w:rPr>
          <w:rFonts w:ascii="Arial" w:cs="Arial" w:eastAsia="Arial" w:hAnsi="Arial"/>
          <w:sz w:val="24"/>
          <w:szCs w:val="24"/>
        </w:rPr>
        <w:t xml:space="preserve">(12) Оценка Министерства экономики Кыргызской Республики за 2018 год.</w:t>
      </w:r>
    </w:p>
    <w:p>
      <w:pPr>
        <w:spacing w:after="60"/>
        <w:ind w:firstLine="567"/>
        <w:jc w:val="both"/>
      </w:pPr>
      <w:r>
        <w:rPr>
          <w:rFonts w:ascii="Arial" w:cs="Arial" w:eastAsia="Arial" w:hAnsi="Arial"/>
          <w:sz w:val="24"/>
          <w:szCs w:val="24"/>
        </w:rPr>
        <w:t xml:space="preserve">(13) Данные за 2018 год, без учета малых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yhpf3b0off2xy2h_rde9">
      <w:r>
        <w:rPr>
          <w:rFonts w:ascii="Arial" w:cs="Arial" w:eastAsia="Arial" w:hAnsi="Arial"/>
          <w:color w:val="132D3F"/>
          <w:sz w:val="16"/>
          <w:szCs w:val="16"/>
          <w:u w:val="single"/>
        </w:rPr>
        <w:t xml:space="preserve">dalil.kg/document/14563</w:t>
      </w:r>
    </w:hyperlink>
  </w:p>
  <w:p>
    <w:pPr>
      <w:spacing w:after="0" w:before="40"/>
      <w:jc w:val="center"/>
    </w:pPr>
    <w:hyperlink w:history="1" r:id="rIdvalpauyf3vcoaxqyps3b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jjm2tmi3ns6cr_28jb4b" Type="http://schemas.openxmlformats.org/officeDocument/2006/relationships/hyperlink" Target="https://dalil.kg/document/157216" TargetMode="External"/><Relationship Id="rIdp1dfmxrgw9b6bnllys9yc" Type="http://schemas.openxmlformats.org/officeDocument/2006/relationships/hyperlink" Target="https://dalil.kg/document/111338" TargetMode="External"/><Relationship Id="rIdibdp5q0dqd4yyws7erktd" Type="http://schemas.openxmlformats.org/officeDocument/2006/relationships/hyperlink" Target="https://dalil.kg/document/202530" TargetMode="External"/><Relationship Id="rIdjhfrj6hldnzo1j7ydxv8d" Type="http://schemas.openxmlformats.org/officeDocument/2006/relationships/hyperlink" Target="https://dalil.kg/document/203685" TargetMode="External"/><Relationship Id="rIdgvyulpgjgrrfwmv1j5lbf" Type="http://schemas.openxmlformats.org/officeDocument/2006/relationships/hyperlink" Target="https://dalil.kg/document/14563#p1" TargetMode="External"/><Relationship Id="rId1mopuk4pdlo_zgsefnufe" Type="http://schemas.openxmlformats.org/officeDocument/2006/relationships/hyperlink" Target="https://dalil.kg/document/1230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yhpf3b0off2xy2h_rde9" Type="http://schemas.openxmlformats.org/officeDocument/2006/relationships/hyperlink" Target="https://dalil.kg/document/14563" TargetMode="External"/><Relationship Id="rIdvalpauyf3vcoaxqyps3b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2026-10-01T19:25:16.740Z</dcterms:created>
  <dcterms:modified xsi:type="dcterms:W3CDTF">2026-10-01T19:25:16.740Z</dcterms:modified>
</cp:coreProperties>
</file>

<file path=docProps/custom.xml><?xml version="1.0" encoding="utf-8"?>
<Properties xmlns="http://schemas.openxmlformats.org/officeDocument/2006/custom-properties" xmlns:vt="http://schemas.openxmlformats.org/officeDocument/2006/docPropsVTypes"/>
</file>