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oy8enpvnb3j7yzurq-9l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июля 2019 года № 377)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приобретении, хранении бланков и уничтожении простых и двойных складских свидетельств</w:t>
      </w:r>
    </w:p>
    <w:p>
      <w:pPr>
        <w:spacing w:after="60"/>
        <w:ind w:firstLine="567"/>
        <w:jc w:val="both"/>
      </w:pPr>
      <w:r>
        <w:rPr>
          <w:rFonts w:ascii="Arial" w:cs="Arial" w:eastAsia="Arial" w:hAnsi="Arial"/>
          <w:sz w:val="24"/>
          <w:szCs w:val="24"/>
        </w:rPr>
        <w:t xml:space="preserve">1. Настоящее Положение устанавливает порядок приобретения, хранения и уничтожения бланков простых и двойных складских свидетельств.</w:t>
      </w:r>
    </w:p>
    <w:p>
      <w:pPr>
        <w:spacing w:after="60"/>
        <w:ind w:firstLine="567"/>
        <w:jc w:val="both"/>
      </w:pPr>
      <w:r>
        <w:rPr>
          <w:rFonts w:ascii="Arial" w:cs="Arial" w:eastAsia="Arial" w:hAnsi="Arial"/>
          <w:sz w:val="24"/>
          <w:szCs w:val="24"/>
        </w:rPr>
        <w:t xml:space="preserve">2. В Положении используются основные термины и их определения в значениях, установленных </w:t>
      </w:r>
      <w:hyperlink w:history="1" r:id="rIdrypqywxuqtnc_nzwq-o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3. Товарные склады, вошедшие в Единый государственный реестр товарных складов, приобретают бланки простых и двойных складских свидетельств в уполномоченном государственном органе в сфере регулирования рынка ценных бумаг (далее - уполномоченный государственный орган).</w:t>
      </w:r>
    </w:p>
    <w:p>
      <w:pPr>
        <w:spacing w:after="60"/>
        <w:ind w:firstLine="567"/>
        <w:jc w:val="both"/>
      </w:pPr>
      <w:r>
        <w:rPr>
          <w:rFonts w:ascii="Arial" w:cs="Arial" w:eastAsia="Arial" w:hAnsi="Arial"/>
          <w:sz w:val="24"/>
          <w:szCs w:val="24"/>
        </w:rPr>
        <w:t xml:space="preserve">4. Уполномоченный государственный орган передает товарному складу бланки простых и двойных складских свидетельств на основании акта приема-передачи. Акт приема-передачи бланков складских свидетельств подписывают уполномоченное лицо товарного склада и представитель уполномоченного государственного органа.</w:t>
      </w:r>
    </w:p>
    <w:p>
      <w:pPr>
        <w:spacing w:after="60"/>
        <w:ind w:firstLine="567"/>
        <w:jc w:val="both"/>
      </w:pPr>
      <w:r>
        <w:rPr>
          <w:rFonts w:ascii="Arial" w:cs="Arial" w:eastAsia="Arial" w:hAnsi="Arial"/>
          <w:sz w:val="24"/>
          <w:szCs w:val="24"/>
        </w:rPr>
        <w:t xml:space="preserve">5. Бланки простых и двойных складских свидетельств являются бланками строгой отчетности. Для изготовления бланков простых и двойных складских свидетельств используется бумага с водяными знаками формата А4, которая по качеству должна легко распознаваться. Цена изготовления бланка простого и двойного складского свидетельства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6. Бланк простого и двойного складского свидетельства должен иметь следующие степени защиты:</w:t>
      </w:r>
    </w:p>
    <w:p>
      <w:pPr>
        <w:spacing w:after="60"/>
        <w:ind w:firstLine="567"/>
        <w:jc w:val="both"/>
      </w:pPr>
      <w:r>
        <w:rPr>
          <w:rFonts w:ascii="Arial" w:cs="Arial" w:eastAsia="Arial" w:hAnsi="Arial"/>
          <w:sz w:val="24"/>
          <w:szCs w:val="24"/>
        </w:rPr>
        <w:t xml:space="preserve">1) чистое поле шириной 10 мм по всему периметру;</w:t>
      </w:r>
    </w:p>
    <w:p>
      <w:pPr>
        <w:spacing w:after="60"/>
        <w:ind w:firstLine="567"/>
        <w:jc w:val="both"/>
      </w:pPr>
      <w:r>
        <w:rPr>
          <w:rFonts w:ascii="Arial" w:cs="Arial" w:eastAsia="Arial" w:hAnsi="Arial"/>
          <w:sz w:val="24"/>
          <w:szCs w:val="24"/>
        </w:rPr>
        <w:t xml:space="preserve">2) специальные типографские краски с защитными свойствами;</w:t>
      </w:r>
    </w:p>
    <w:p>
      <w:pPr>
        <w:spacing w:after="60"/>
        <w:ind w:firstLine="567"/>
        <w:jc w:val="both"/>
      </w:pPr>
      <w:r>
        <w:rPr>
          <w:rFonts w:ascii="Arial" w:cs="Arial" w:eastAsia="Arial" w:hAnsi="Arial"/>
          <w:sz w:val="24"/>
          <w:szCs w:val="24"/>
        </w:rPr>
        <w:t xml:space="preserve">3) элементы технологической, полиграфической и физикохимической защиты, которые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4) иные степени защиты, которые вправе установить уполномоченный государственный орган.</w:t>
      </w:r>
    </w:p>
    <w:p>
      <w:pPr>
        <w:spacing w:after="60"/>
        <w:ind w:firstLine="567"/>
        <w:jc w:val="both"/>
      </w:pPr>
      <w:r>
        <w:rPr>
          <w:rFonts w:ascii="Arial" w:cs="Arial" w:eastAsia="Arial" w:hAnsi="Arial"/>
          <w:sz w:val="24"/>
          <w:szCs w:val="24"/>
        </w:rPr>
        <w:t xml:space="preserve">7. Каждый бланк должен иметь серию и номер, нанесенные типографским способом. При этом, на обеих частях двойного складского свидетельства серия и номер должны быть идентичными.</w:t>
      </w:r>
    </w:p>
    <w:p>
      <w:pPr>
        <w:spacing w:after="60"/>
        <w:ind w:firstLine="567"/>
        <w:jc w:val="both"/>
      </w:pPr>
      <w:r>
        <w:rPr>
          <w:rFonts w:ascii="Arial" w:cs="Arial" w:eastAsia="Arial" w:hAnsi="Arial"/>
          <w:sz w:val="24"/>
          <w:szCs w:val="24"/>
        </w:rPr>
        <w:t xml:space="preserve">8. Простое складское свидетельство и двойное складское свидетельство выдаются товарным складом в подтверждение принятия продукции на хранение в день ее приема.</w:t>
      </w:r>
    </w:p>
    <w:p>
      <w:pPr>
        <w:spacing w:after="60"/>
        <w:ind w:firstLine="567"/>
        <w:jc w:val="both"/>
      </w:pPr>
      <w:r>
        <w:rPr>
          <w:rFonts w:ascii="Arial" w:cs="Arial" w:eastAsia="Arial" w:hAnsi="Arial"/>
          <w:sz w:val="24"/>
          <w:szCs w:val="24"/>
        </w:rPr>
        <w:t xml:space="preserve">9. Простое или двойное складское свидетельство может быть выдано на каждую отдельную партию продукции по требованию собственника продукции. По требованию собственника продукции товарный склад обязан выдать новое простое или двойное складское свидетельство в обмен на первоначальное свидетельство на основании письменного заявления держателя соответствующего свидетельства в случаях, предусмотренных </w:t>
      </w:r>
      <w:hyperlink w:history="1" r:id="rIdjuqxhksacbh5ic8vpkr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10. После заполнения обязательных реквизитов простое и/или двойное складское свидетельство регистрируется в реестре складских свидетельств товарного склада (далее - Реестр), с присвоением текущего номера по данному Реестру, после чего вручается собственнику продукции или его уполномоченному представителю.</w:t>
      </w:r>
    </w:p>
    <w:p>
      <w:pPr>
        <w:spacing w:after="60"/>
        <w:ind w:firstLine="567"/>
        <w:jc w:val="both"/>
      </w:pPr>
      <w:r>
        <w:rPr>
          <w:rFonts w:ascii="Arial" w:cs="Arial" w:eastAsia="Arial" w:hAnsi="Arial"/>
          <w:sz w:val="24"/>
          <w:szCs w:val="24"/>
        </w:rPr>
        <w:t xml:space="preserve">11. При выдаче простого и/или двойного складского свидетельства товарным складом в Реестр вносятся:</w:t>
      </w:r>
    </w:p>
    <w:p>
      <w:pPr>
        <w:spacing w:after="60"/>
        <w:ind w:firstLine="567"/>
        <w:jc w:val="both"/>
      </w:pPr>
      <w:r>
        <w:rPr>
          <w:rFonts w:ascii="Arial" w:cs="Arial" w:eastAsia="Arial" w:hAnsi="Arial"/>
          <w:sz w:val="24"/>
          <w:szCs w:val="24"/>
        </w:rPr>
        <w:t xml:space="preserve">1) текущий номер выдаваемого простого или двойного складского свидетельства по Реестру;</w:t>
      </w:r>
    </w:p>
    <w:p>
      <w:pPr>
        <w:spacing w:after="60"/>
        <w:ind w:firstLine="567"/>
        <w:jc w:val="both"/>
      </w:pPr>
      <w:r>
        <w:rPr>
          <w:rFonts w:ascii="Arial" w:cs="Arial" w:eastAsia="Arial" w:hAnsi="Arial"/>
          <w:sz w:val="24"/>
          <w:szCs w:val="24"/>
        </w:rPr>
        <w:t xml:space="preserve">2) серия и номер бланка соответствующего складского свидетельства;</w:t>
      </w:r>
    </w:p>
    <w:p>
      <w:pPr>
        <w:spacing w:after="60"/>
        <w:ind w:firstLine="567"/>
        <w:jc w:val="both"/>
      </w:pPr>
      <w:r>
        <w:rPr>
          <w:rFonts w:ascii="Arial" w:cs="Arial" w:eastAsia="Arial" w:hAnsi="Arial"/>
          <w:sz w:val="24"/>
          <w:szCs w:val="24"/>
        </w:rPr>
        <w:t xml:space="preserve">3) дата выдачи и дата погашения простого или двойного складского свидетельства;</w:t>
      </w:r>
    </w:p>
    <w:p>
      <w:pPr>
        <w:spacing w:after="60"/>
        <w:ind w:firstLine="567"/>
        <w:jc w:val="both"/>
      </w:pPr>
      <w:r>
        <w:rPr>
          <w:rFonts w:ascii="Arial" w:cs="Arial" w:eastAsia="Arial" w:hAnsi="Arial"/>
          <w:sz w:val="24"/>
          <w:szCs w:val="24"/>
        </w:rPr>
        <w:t xml:space="preserve">4) вид выданного складского свидетельства - двойное или простое и подпись лица, получившего соответствующее складское свидетельство;</w:t>
      </w:r>
    </w:p>
    <w:p>
      <w:pPr>
        <w:spacing w:after="60"/>
        <w:ind w:firstLine="567"/>
        <w:jc w:val="both"/>
      </w:pPr>
      <w:r>
        <w:rPr>
          <w:rFonts w:ascii="Arial" w:cs="Arial" w:eastAsia="Arial" w:hAnsi="Arial"/>
          <w:sz w:val="24"/>
          <w:szCs w:val="24"/>
        </w:rPr>
        <w:t xml:space="preserve">5) описание и характеристики продукции, принятой на хранение, идентичные указанным в соответствующем складском свидетельстве;</w:t>
      </w:r>
    </w:p>
    <w:p>
      <w:pPr>
        <w:spacing w:after="60"/>
        <w:ind w:firstLine="567"/>
        <w:jc w:val="both"/>
      </w:pPr>
      <w:r>
        <w:rPr>
          <w:rFonts w:ascii="Arial" w:cs="Arial" w:eastAsia="Arial" w:hAnsi="Arial"/>
          <w:sz w:val="24"/>
          <w:szCs w:val="24"/>
        </w:rPr>
        <w:t xml:space="preserve">6) сведения о держателе простого складского свидетельства или двойного складского свидетельства (его отдельных частей): для физических лиц - ФИО, номер, серия, дата и наименование органа, выдавшего паспорт, местожительство, ПИН, для юридических лиц - наименование организации, юридический адрес (местонахождение), ИНН;</w:t>
      </w:r>
    </w:p>
    <w:p>
      <w:pPr>
        <w:spacing w:after="60"/>
        <w:ind w:firstLine="567"/>
        <w:jc w:val="both"/>
      </w:pPr>
      <w:r>
        <w:rPr>
          <w:rFonts w:ascii="Arial" w:cs="Arial" w:eastAsia="Arial" w:hAnsi="Arial"/>
          <w:sz w:val="24"/>
          <w:szCs w:val="24"/>
        </w:rPr>
        <w:t xml:space="preserve">7) вид операции с простым складским свидетельством или двойным складским свидетельством (его отдельными частями);</w:t>
      </w:r>
    </w:p>
    <w:p>
      <w:pPr>
        <w:spacing w:after="60"/>
        <w:ind w:firstLine="567"/>
        <w:jc w:val="both"/>
      </w:pPr>
      <w:r>
        <w:rPr>
          <w:rFonts w:ascii="Arial" w:cs="Arial" w:eastAsia="Arial" w:hAnsi="Arial"/>
          <w:sz w:val="24"/>
          <w:szCs w:val="24"/>
        </w:rPr>
        <w:t xml:space="preserve">8) номер и дата заключения договора складского хранения.</w:t>
      </w:r>
    </w:p>
    <w:p>
      <w:pPr>
        <w:spacing w:after="60"/>
        <w:ind w:firstLine="567"/>
        <w:jc w:val="both"/>
      </w:pPr>
      <w:r>
        <w:rPr>
          <w:rFonts w:ascii="Arial" w:cs="Arial" w:eastAsia="Arial" w:hAnsi="Arial"/>
          <w:sz w:val="24"/>
          <w:szCs w:val="24"/>
        </w:rPr>
        <w:t xml:space="preserve">12. Записи в Реестре ведутся раздельно по каждому выданному складскому свидетельству. При этом Реестр должен быть прошнурован, пронумерован полистно, скреплен печатью и подписью руководителя товарного склада. Записи в Реестре должны вестись четко, без помарок и исправлений.</w:t>
      </w:r>
    </w:p>
    <w:p>
      <w:pPr>
        <w:spacing w:after="60"/>
        <w:ind w:firstLine="567"/>
        <w:jc w:val="both"/>
      </w:pPr>
      <w:r>
        <w:rPr>
          <w:rFonts w:ascii="Arial" w:cs="Arial" w:eastAsia="Arial" w:hAnsi="Arial"/>
          <w:sz w:val="24"/>
          <w:szCs w:val="24"/>
        </w:rPr>
        <w:t xml:space="preserve">13. Передача прав по простому складскому свидетельству, двойному складскому свидетельству и его отдельным частям должна быть зарегистрирована товарным складом в Реестре в течение трех рабочих дней.</w:t>
      </w:r>
    </w:p>
    <w:p>
      <w:pPr>
        <w:spacing w:after="60"/>
        <w:ind w:firstLine="567"/>
        <w:jc w:val="both"/>
      </w:pPr>
      <w:r>
        <w:rPr>
          <w:rFonts w:ascii="Arial" w:cs="Arial" w:eastAsia="Arial" w:hAnsi="Arial"/>
          <w:sz w:val="24"/>
          <w:szCs w:val="24"/>
        </w:rPr>
        <w:t xml:space="preserve">14. Информация, содержащаяся в Реестре, может предоставляться товарным складом на основании заявления держателя простого или двойного складского свидетельства.</w:t>
      </w:r>
    </w:p>
    <w:p>
      <w:pPr>
        <w:spacing w:after="60"/>
        <w:ind w:firstLine="567"/>
        <w:jc w:val="both"/>
      </w:pPr>
      <w:r>
        <w:rPr>
          <w:rFonts w:ascii="Arial" w:cs="Arial" w:eastAsia="Arial" w:hAnsi="Arial"/>
          <w:sz w:val="24"/>
          <w:szCs w:val="24"/>
        </w:rPr>
        <w:t xml:space="preserve">15. Руководитель товарного склада определяет сотрудника, ответственного за хранение и оформление бланков складских свидетельств и уполномоченного вносить записи в Реестр.</w:t>
      </w:r>
    </w:p>
    <w:p>
      <w:pPr>
        <w:spacing w:after="60"/>
        <w:ind w:firstLine="567"/>
        <w:jc w:val="both"/>
      </w:pPr>
      <w:r>
        <w:rPr>
          <w:rFonts w:ascii="Arial" w:cs="Arial" w:eastAsia="Arial" w:hAnsi="Arial"/>
          <w:sz w:val="24"/>
          <w:szCs w:val="24"/>
        </w:rPr>
        <w:t xml:space="preserve">16. Бланки простых и двойных складских свидетельств подлежат хранению в несгораемых сейфах или специальных несгораемых шкафах.</w:t>
      </w:r>
    </w:p>
    <w:p>
      <w:pPr>
        <w:spacing w:after="60"/>
        <w:ind w:firstLine="567"/>
        <w:jc w:val="both"/>
      </w:pPr>
      <w:r>
        <w:rPr>
          <w:rFonts w:ascii="Arial" w:cs="Arial" w:eastAsia="Arial" w:hAnsi="Arial"/>
          <w:sz w:val="24"/>
          <w:szCs w:val="24"/>
        </w:rPr>
        <w:t xml:space="preserve">17. Сведения об уничтожении бланков простых и/или двойных складских свидетельств, с указанием их серий и номеров вносятся в Единый государственный реестр простых и двойных складских свидетельств.</w:t>
      </w:r>
    </w:p>
    <w:p>
      <w:pPr>
        <w:spacing w:after="60"/>
        <w:ind w:firstLine="567"/>
        <w:jc w:val="both"/>
      </w:pPr>
      <w:r>
        <w:rPr>
          <w:rFonts w:ascii="Arial" w:cs="Arial" w:eastAsia="Arial" w:hAnsi="Arial"/>
          <w:sz w:val="24"/>
          <w:szCs w:val="24"/>
        </w:rPr>
        <w:t xml:space="preserve">18. Об уничтожении недействительных и испорченных бланков складских свидетельств составляется акт в двух экземплярах, подписывается всеми членами специально созданной комиссии из числа уполномоченных представителей товарного склада и заверяется печатью товарного склада. Один экземпляр акта об уничтожении бланков складских свидетельств подлежит передаче уполномоченному государственному органу в течение пяти рабочих дней со дня составления акта.</w:t>
      </w:r>
    </w:p>
    <w:p>
      <w:pPr>
        <w:spacing w:after="60"/>
        <w:ind w:firstLine="567"/>
        <w:jc w:val="both"/>
      </w:pPr>
      <w:r>
        <w:rPr>
          <w:rFonts w:ascii="Arial" w:cs="Arial" w:eastAsia="Arial" w:hAnsi="Arial"/>
          <w:sz w:val="24"/>
          <w:szCs w:val="24"/>
        </w:rPr>
        <w:t xml:space="preserve">19. Недействительные и испорченные бланки складских свидетельств уничтожаются путем сжигания или резки членами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5sk59gd7scrlatlyi8c">
      <w:r>
        <w:rPr>
          <w:rFonts w:ascii="Arial" w:cs="Arial" w:eastAsia="Arial" w:hAnsi="Arial"/>
          <w:color w:val="132D3F"/>
          <w:sz w:val="16"/>
          <w:szCs w:val="16"/>
          <w:u w:val="single"/>
        </w:rPr>
        <w:t xml:space="preserve">dalil.kg/document/14988</w:t>
      </w:r>
    </w:hyperlink>
  </w:p>
  <w:p>
    <w:pPr>
      <w:spacing w:after="0" w:before="40"/>
      <w:jc w:val="center"/>
    </w:pPr>
    <w:hyperlink w:history="1" r:id="rIdl0ofjt6s1o8h1qqnahb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8enpvnb3j7yzurq-9lx" Type="http://schemas.openxmlformats.org/officeDocument/2006/relationships/hyperlink" Target="https://dalil.kg/document/14984" TargetMode="External"/><Relationship Id="rIdrypqywxuqtnc_nzwq-orz" Type="http://schemas.openxmlformats.org/officeDocument/2006/relationships/hyperlink" Target="https://dalil.kg/document/111772" TargetMode="External"/><Relationship Id="rIdjuqxhksacbh5ic8vpkrsd" Type="http://schemas.openxmlformats.org/officeDocument/2006/relationships/hyperlink" Target="https://dalil.kg/document/1117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5sk59gd7scrlatlyi8c" Type="http://schemas.openxmlformats.org/officeDocument/2006/relationships/hyperlink" Target="https://dalil.kg/document/14988" TargetMode="External"/><Relationship Id="rIdl0ofjt6s1o8h1qqnahb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2026-09-23T23:24:59.072Z</dcterms:created>
  <dcterms:modified xsi:type="dcterms:W3CDTF">2026-09-23T23:24:59.072Z</dcterms:modified>
</cp:coreProperties>
</file>

<file path=docProps/custom.xml><?xml version="1.0" encoding="utf-8"?>
<Properties xmlns="http://schemas.openxmlformats.org/officeDocument/2006/custom-properties" xmlns:vt="http://schemas.openxmlformats.org/officeDocument/2006/docPropsVTypes"/>
</file>