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btefo2uisetf17kh0xy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апреля 2022 года № 202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oq_gq_kisfhbjy4dvmrl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22 июля 2019 года № 363)</w:t>
      </w:r>
    </w:p>
    <w:p>
      <w:pPr>
        <w:spacing w:after="400" w:before="400"/>
        <w:jc w:val="center"/>
      </w:pPr>
      <w:r>
        <w:rPr>
          <w:rFonts w:ascii="Arial" w:cs="Arial" w:eastAsia="Arial" w:hAnsi="Arial"/>
          <w:b/>
          <w:bCs/>
          <w:sz w:val="24"/>
          <w:szCs w:val="24"/>
        </w:rPr>
        <w:t xml:space="preserve">СТРАТЕГИЯ</w:t>
      </w:r>
      <w:r>
        <w:rPr>
          <w:rFonts w:ascii="Arial" w:cs="Arial" w:eastAsia="Arial" w:hAnsi="Arial"/>
          <w:b/>
          <w:bCs/>
          <w:sz w:val="24"/>
          <w:szCs w:val="24"/>
        </w:rPr>
        <w:t xml:space="preserve">
 развития таможенной службы Кыргызской Республики на 2019-2023 годы</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Стратегия развития таможенной службы Кыргызской Республики на 2019-2023 годы (далее - Стратегия) является документом, определяющим основные направления развития таможенной службы и совершенствования таможенного администрирования на среднесрочный период, направленным на повышение потенциала системы таможенной службы Кыргызской Республики и содействие развитию внешнеэкономической деятельности (далее - ВЭД).</w:t>
      </w:r>
    </w:p>
    <w:p>
      <w:pPr>
        <w:spacing w:after="60"/>
        <w:ind w:firstLine="567"/>
        <w:jc w:val="both"/>
      </w:pPr>
      <w:r>
        <w:rPr>
          <w:rFonts w:ascii="Arial" w:cs="Arial" w:eastAsia="Arial" w:hAnsi="Arial"/>
          <w:sz w:val="24"/>
          <w:szCs w:val="24"/>
        </w:rPr>
        <w:t xml:space="preserve">Сроки планирования Стратегии обусловлены рядом важных предусловий:</w:t>
      </w:r>
    </w:p>
    <w:p>
      <w:pPr>
        <w:spacing w:after="60"/>
        <w:ind w:firstLine="567"/>
        <w:jc w:val="both"/>
      </w:pPr>
      <w:r>
        <w:rPr>
          <w:rFonts w:ascii="Arial" w:cs="Arial" w:eastAsia="Arial" w:hAnsi="Arial"/>
          <w:sz w:val="24"/>
          <w:szCs w:val="24"/>
        </w:rPr>
        <w:t xml:space="preserve">- Кыргызская Республика вступила в Евразийский экономический союз (далее - ЕАЭС) в августе 2015 года, поэтому десятилетний период нахождения в интеграционном объединении важен с точки зрения институциональной гибкости Государственной таможенной службы при Правительстве Кыргызской Республики (далее - таможенная служба) и возможных сценариев развития ситуации в регионе в целом;</w:t>
      </w:r>
    </w:p>
    <w:p>
      <w:pPr>
        <w:spacing w:after="60"/>
        <w:ind w:firstLine="567"/>
        <w:jc w:val="both"/>
      </w:pPr>
      <w:r>
        <w:rPr>
          <w:rFonts w:ascii="Arial" w:cs="Arial" w:eastAsia="Arial" w:hAnsi="Arial"/>
          <w:sz w:val="24"/>
          <w:szCs w:val="24"/>
        </w:rPr>
        <w:t xml:space="preserve">- к 2025 году согласно Договора о ЕАЭС будут сформированы основные рынки товаров, услуг, рабочей силы и капитала. Ряд преимуществ и преференций Кыргызской Республики сойдут на нет, гармонизация законодательства стран ЕАЭС будет обеспечивать единое правовое поле в странах евразийской экономической интеграции. Возможное расширение числа участников также может повлиять на изменение структуры и направлений транзитных и экспортно-импортных товарных потоков.</w:t>
      </w:r>
    </w:p>
    <w:p>
      <w:pPr>
        <w:spacing w:after="60"/>
        <w:ind w:firstLine="567"/>
        <w:jc w:val="both"/>
      </w:pPr>
      <w:r>
        <w:rPr>
          <w:rFonts w:ascii="Arial" w:cs="Arial" w:eastAsia="Arial" w:hAnsi="Arial"/>
          <w:sz w:val="24"/>
          <w:szCs w:val="24"/>
        </w:rPr>
        <w:t xml:space="preserve">Дальнейшее развитие ЕАЭС, вступление в силу с 1 января 2018 года Таможенного </w:t>
      </w:r>
      <w:r>
        <w:rPr>
          <w:rFonts w:ascii="Arial" w:cs="Arial" w:eastAsia="Arial" w:hAnsi="Arial"/>
          <w:sz w:val="24"/>
          <w:szCs w:val="24"/>
        </w:rPr>
        <w:t xml:space="preserve">кодекса</w:t>
      </w:r>
      <w:r>
        <w:rPr>
          <w:rFonts w:ascii="Arial" w:cs="Arial" w:eastAsia="Arial" w:hAnsi="Arial"/>
          <w:sz w:val="24"/>
          <w:szCs w:val="24"/>
        </w:rPr>
        <w:t xml:space="preserve"> ЕАЭС (ратифицирован </w:t>
      </w:r>
      <w:hyperlink w:history="1" r:id="rIdeu6apeh_ti8z9br2khp2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30 декабря 2017 года № 223 (28), предусматривающего автоматизацию всех таможенных процессов, а также установленные приоритеты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на период 2018-2022 годы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 обусловливают необходимость разработки и реализации стратегического документа, направленного на совершенствование таможенного регулирования.</w:t>
      </w:r>
    </w:p>
    <w:p>
      <w:pPr>
        <w:spacing w:after="60"/>
        <w:ind w:firstLine="567"/>
        <w:jc w:val="both"/>
      </w:pPr>
      <w:r>
        <w:rPr>
          <w:rFonts w:ascii="Arial" w:cs="Arial" w:eastAsia="Arial" w:hAnsi="Arial"/>
          <w:sz w:val="24"/>
          <w:szCs w:val="24"/>
        </w:rPr>
        <w:t xml:space="preserve">При разработке Стратегии учитывались существующие показатели внешней торговли Кыргызской Республики, необходимость создания условий для свободного перемещения товаров и реализации одного из главного направления экономической политики - содействие бизнесу.</w:t>
      </w:r>
    </w:p>
    <w:p>
      <w:pPr>
        <w:spacing w:after="60"/>
        <w:ind w:firstLine="567"/>
        <w:jc w:val="both"/>
      </w:pPr>
      <w:r>
        <w:rPr>
          <w:rFonts w:ascii="Arial" w:cs="Arial" w:eastAsia="Arial" w:hAnsi="Arial"/>
          <w:sz w:val="24"/>
          <w:szCs w:val="24"/>
        </w:rPr>
        <w:t xml:space="preserve">Разработка Стратегии состояла из трех этапов: аналитический этап, этап планирования, этап обсуждения с участниками ВЭД, экспертным сообществом, международными организациями и заинтересованными органами государственного регулирования.</w:t>
      </w:r>
    </w:p>
    <w:p>
      <w:pPr>
        <w:spacing w:after="60"/>
        <w:ind w:firstLine="567"/>
        <w:jc w:val="both"/>
      </w:pPr>
      <w:r>
        <w:rPr>
          <w:rFonts w:ascii="Arial" w:cs="Arial" w:eastAsia="Arial" w:hAnsi="Arial"/>
          <w:sz w:val="24"/>
          <w:szCs w:val="24"/>
        </w:rPr>
        <w:t xml:space="preserve">На этапе аналитической работы проведен анализ текущего состояния и выявление проблемных зон в сфере таможенного дела. Этап планирования заключался в разработке содержания Стратегии, планировании мероприятий, необходимых для успешной реализации Стратегии, а также необходимых для этого ресурсов и затрат. Этап обсуждения заключался в получении критической и объективной оценки и учете мнения всех заинтересованных сторон.</w:t>
      </w:r>
    </w:p>
    <w:p>
      <w:pPr>
        <w:spacing w:after="200" w:before="200"/>
        <w:jc w:val="center"/>
      </w:pPr>
      <w:r>
        <w:rPr>
          <w:rFonts w:ascii="Arial" w:cs="Arial" w:eastAsia="Arial" w:hAnsi="Arial"/>
          <w:b/>
          <w:bCs/>
          <w:sz w:val="24"/>
          <w:szCs w:val="24"/>
        </w:rPr>
        <w:t xml:space="preserve">Глава 2. Анализ текущей ситуации. Достижения и проблемы</w:t>
      </w:r>
    </w:p>
    <w:p>
      <w:pPr>
        <w:spacing w:after="60"/>
        <w:ind w:firstLine="567"/>
        <w:jc w:val="both"/>
      </w:pPr>
      <w:r>
        <w:rPr>
          <w:rFonts w:ascii="Arial" w:cs="Arial" w:eastAsia="Arial" w:hAnsi="Arial"/>
          <w:sz w:val="24"/>
          <w:szCs w:val="24"/>
        </w:rPr>
        <w:t xml:space="preserve">Деятельность таможенной службы в современных условиях подвергается воздействию со стороны региональных и международных вызовов и тенденций, требующих дальнейшего развития таможенной службы в целом, реформирования подходов таможенного регулирования и администрирования.</w:t>
      </w:r>
    </w:p>
    <w:p>
      <w:pPr>
        <w:spacing w:after="60"/>
        <w:ind w:firstLine="567"/>
        <w:jc w:val="both"/>
      </w:pPr>
      <w:r>
        <w:rPr>
          <w:rFonts w:ascii="Arial" w:cs="Arial" w:eastAsia="Arial" w:hAnsi="Arial"/>
          <w:sz w:val="24"/>
          <w:szCs w:val="24"/>
        </w:rPr>
        <w:t xml:space="preserve">Проведенные реформы в рамках </w:t>
      </w:r>
      <w:hyperlink w:history="1" r:id="rIdzhdsk0hx26g5rmi2g5qil">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таможенной службы Кыргызской Республики на 2011-2013 годы, утвержденной </w:t>
      </w:r>
      <w:hyperlink w:history="1" r:id="rIdwzujvhnjuv7e8gp-iyi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2010 года № 342, дали ряд положительных результатов, в частности в сокращении административных барьеров и упрощении таможенных процедур, в развитии таможенной инфраструктуры, а также в автоматизации рабочих процессов при таможенном оформлении.</w:t>
      </w:r>
    </w:p>
    <w:p>
      <w:pPr>
        <w:spacing w:after="60"/>
        <w:ind w:firstLine="567"/>
        <w:jc w:val="both"/>
      </w:pPr>
      <w:r>
        <w:rPr>
          <w:rFonts w:ascii="Arial" w:cs="Arial" w:eastAsia="Arial" w:hAnsi="Arial"/>
          <w:sz w:val="24"/>
          <w:szCs w:val="24"/>
        </w:rPr>
        <w:t xml:space="preserve">Благодаря проведенным реформам, доходы по таможенным платежам выросли за 2011-2014 годы порядка на 80% и составили 42,5 млрд. сомов. После вступления Кыргызской Республики в ЕАЭС, несмотря на отмену таможенного администрирования товаров во взаимной торговле между странами ЕАЭС, темп роста поступления таможенных платежей сохраняется.</w:t>
      </w:r>
    </w:p>
    <w:p>
      <w:pPr>
        <w:spacing w:after="60"/>
        <w:ind w:firstLine="567"/>
        <w:jc w:val="both"/>
      </w:pPr>
      <w:r>
        <w:rPr>
          <w:rFonts w:ascii="Arial" w:cs="Arial" w:eastAsia="Arial" w:hAnsi="Arial"/>
          <w:sz w:val="24"/>
          <w:szCs w:val="24"/>
        </w:rPr>
        <w:t xml:space="preserve">По итогам деятельности за период 2017-2018 годов можно отметить, что таможенная служба является одним из важнейших доходообразующих органов Кыргызской Республики - в частности, обеспечивается порядка 25-30% всей доходной части республиканского бюджета страны или 41,7 млрд. сомов в 2018 году, что на 7,5 млрд. сомов превышает результаты 2017 года. На 2019 год поставлена задача обеспечить поступление по таможенным платежам в республиканский бюджет Кыргызской Республики в размере 48,6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поступлений таможенных платежей</w:t>
      </w:r>
    </w:p>
    <w:p>
      <w:pPr>
        <w:spacing w:after="60"/>
        <w:ind w:firstLine="567"/>
        <w:jc w:val="both"/>
      </w:pPr>
      <w:r>
        <w:rPr>
          <w:rFonts w:ascii="Arial" w:cs="Arial" w:eastAsia="Arial" w:hAnsi="Arial"/>
          <w:i/>
          <w:iCs/>
          <w:sz w:val="24"/>
          <w:szCs w:val="24"/>
        </w:rPr>
        <w:t xml:space="preserve">См. графическую копию таблицы.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 связи с вступлением Кыргызской Республики в ЕАЭС, таможенный контроль между странами ЕАЭС был отменен и таможенные платежи не администрируются.</w:t>
      </w:r>
    </w:p>
    <w:p>
      <w:pPr>
        <w:spacing w:after="60"/>
        <w:ind w:firstLine="567"/>
        <w:jc w:val="both"/>
      </w:pPr>
      <w:r>
        <w:rPr>
          <w:rFonts w:ascii="Arial" w:cs="Arial" w:eastAsia="Arial" w:hAnsi="Arial"/>
          <w:sz w:val="24"/>
          <w:szCs w:val="24"/>
        </w:rPr>
        <w:t xml:space="preserve">На каждого сотрудника таможенной службы приходится 36,6 млн. сомов поступлений таможенных платежей в доходную часть республиканского бюджета (почти 523000 долл. США), что говорит о достаточно высокой эффективности службы.</w:t>
      </w:r>
    </w:p>
    <w:p>
      <w:pPr>
        <w:spacing w:after="60"/>
        <w:ind w:firstLine="567"/>
        <w:jc w:val="both"/>
      </w:pPr>
      <w:r>
        <w:rPr>
          <w:rFonts w:ascii="Arial" w:cs="Arial" w:eastAsia="Arial" w:hAnsi="Arial"/>
          <w:sz w:val="24"/>
          <w:szCs w:val="24"/>
        </w:rPr>
        <w:t xml:space="preserve">Таможенная служба в рамках выполнения одной из основных задач по обеспечению экономической безопасности предотвращает сотни попыток ввоза контрабандной, контрафактной и запрещенной продукции, в том числе при активном взаимодействии с другими правоохранительными органами.</w:t>
      </w:r>
    </w:p>
    <w:p>
      <w:pPr>
        <w:spacing w:after="60"/>
        <w:ind w:firstLine="567"/>
        <w:jc w:val="both"/>
      </w:pPr>
      <w:r>
        <w:rPr>
          <w:rFonts w:ascii="Arial" w:cs="Arial" w:eastAsia="Arial" w:hAnsi="Arial"/>
          <w:sz w:val="24"/>
          <w:szCs w:val="24"/>
        </w:rPr>
        <w:t xml:space="preserve">Последующие несколько лет после завершения реализации </w:t>
      </w:r>
      <w:hyperlink w:history="1" r:id="rIdnqho_1tarqh0w_qxmyuoc">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таможенной службы Кыргызской Республики на 2011-2013 годы, утвержденной </w:t>
      </w:r>
      <w:hyperlink w:history="1" r:id="rIdqvg5r4ip5tmwjajkseyi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2010 года № 342, деятельность таможенной службы была направлена на адаптацию к условиям ЕАЭС в рамках присоединения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подписанным 23 декабря 2014 года, ратифицированным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21 мая 2015 года № 111) и унификации законодательства Кыргызской Республики с таможенным законодательством ЕАЭС. Проведена оптимизация структуры таможенных органов, установлены внутренние регламенты, разработаны и утверждены положения, направленные на повышение эффективности деятельности подразделений, проведены обучающие курсы по законодательству ЕАЭС и Кыргызской Республики в сфере таможенного дела. Также, проведены мероприятия по передислокации личного состава в пункты пропуска на внешней границе ЕАЭС, продолжается реализация мероприятий по приведению пунктов пропуска в соответствие с техническими требованиями ЕАЭС.</w:t>
      </w:r>
    </w:p>
    <w:p>
      <w:pPr>
        <w:spacing w:after="60"/>
        <w:ind w:firstLine="567"/>
        <w:jc w:val="both"/>
      </w:pPr>
      <w:r>
        <w:rPr>
          <w:rFonts w:ascii="Arial" w:cs="Arial" w:eastAsia="Arial" w:hAnsi="Arial"/>
          <w:sz w:val="24"/>
          <w:szCs w:val="24"/>
        </w:rPr>
        <w:t xml:space="preserve">"Дорожной картой" по присоединению Кыргызской Республики к Таможенному союзу Республики Беларусь, Республики Казахстан и Российской Федерации, утвержденной Решением Высшего Евразийского экономического совета от 29 мая 2014 года № 74, определены состав мероприятий по техническому оснащению и обустройству кыргызских пунктов пропуска на таможенной границе ЕАЭС. В рамках технического содействия, оказанной Российской Федерацией Кыргызской Республике, пункты пропуска (места перемещения товаров и транспортных средств) подлежат обустройству и техническому оснащению согласно техническим требованиям ЕАЭС:</w:t>
      </w:r>
    </w:p>
    <w:p>
      <w:pPr>
        <w:spacing w:after="60"/>
        <w:ind w:firstLine="567"/>
        <w:jc w:val="both"/>
      </w:pPr>
      <w:r>
        <w:rPr>
          <w:rFonts w:ascii="Arial" w:cs="Arial" w:eastAsia="Arial" w:hAnsi="Arial"/>
          <w:sz w:val="24"/>
          <w:szCs w:val="24"/>
        </w:rPr>
        <w:t xml:space="preserve">- на кыргызско-китайском участке границы: автомобильные пункты пропуска "Иркештам", "Торугарт";</w:t>
      </w:r>
    </w:p>
    <w:p>
      <w:pPr>
        <w:spacing w:after="60"/>
        <w:ind w:firstLine="567"/>
        <w:jc w:val="both"/>
      </w:pPr>
      <w:r>
        <w:rPr>
          <w:rFonts w:ascii="Arial" w:cs="Arial" w:eastAsia="Arial" w:hAnsi="Arial"/>
          <w:sz w:val="24"/>
          <w:szCs w:val="24"/>
        </w:rPr>
        <w:t xml:space="preserve">- на кыргызско-узбекском участке границы: автомобильные пункты "Достук", "Кызыл-Кия", железнодорожные пункты пропуска "Кара-Суу", "Шамалдысай", "Кызыл-Кия" и "Джалал-Абад";</w:t>
      </w:r>
    </w:p>
    <w:p>
      <w:pPr>
        <w:spacing w:after="60"/>
        <w:ind w:firstLine="567"/>
        <w:jc w:val="both"/>
      </w:pPr>
      <w:r>
        <w:rPr>
          <w:rFonts w:ascii="Arial" w:cs="Arial" w:eastAsia="Arial" w:hAnsi="Arial"/>
          <w:sz w:val="24"/>
          <w:szCs w:val="24"/>
        </w:rPr>
        <w:t xml:space="preserve">- на кыргызско-таджикском участке границы: автомобильные пункты пропуска "Кайрагач", "Кызыл-Бель", "Карамык", "Бор-Добо";</w:t>
      </w:r>
    </w:p>
    <w:p>
      <w:pPr>
        <w:spacing w:after="60"/>
        <w:ind w:firstLine="567"/>
        <w:jc w:val="both"/>
      </w:pPr>
      <w:r>
        <w:rPr>
          <w:rFonts w:ascii="Arial" w:cs="Arial" w:eastAsia="Arial" w:hAnsi="Arial"/>
          <w:sz w:val="24"/>
          <w:szCs w:val="24"/>
        </w:rPr>
        <w:t xml:space="preserve">- воздушные пункты пропуска "Манас" и "Ош".</w:t>
      </w:r>
    </w:p>
    <w:p>
      <w:pPr>
        <w:spacing w:after="60"/>
        <w:ind w:firstLine="567"/>
        <w:jc w:val="both"/>
      </w:pPr>
      <w:r>
        <w:rPr>
          <w:rFonts w:ascii="Arial" w:cs="Arial" w:eastAsia="Arial" w:hAnsi="Arial"/>
          <w:sz w:val="24"/>
          <w:szCs w:val="24"/>
        </w:rPr>
        <w:t xml:space="preserve">Мероприятия по пунктам пропуска должны быть проведены в три этапа:</w:t>
      </w:r>
    </w:p>
    <w:p>
      <w:pPr>
        <w:spacing w:after="60"/>
        <w:ind w:firstLine="567"/>
        <w:jc w:val="both"/>
      </w:pPr>
      <w:r>
        <w:rPr>
          <w:rFonts w:ascii="Arial" w:cs="Arial" w:eastAsia="Arial" w:hAnsi="Arial"/>
          <w:sz w:val="24"/>
          <w:szCs w:val="24"/>
        </w:rPr>
        <w:t xml:space="preserve">I этап - техническое оснащение автомобильных пунктов пропуска "Торугарт" и "Иркештам", воздушных пунктов пропуска "Манас" и "Ош" - переносными техническими средствами для таможенного, санитарно-карантинного, ветеринарного, карантинного, фитосанитарного видов контроля (срок - до 8 мая 2015 года, выполнен);</w:t>
      </w:r>
    </w:p>
    <w:p>
      <w:pPr>
        <w:spacing w:after="60"/>
        <w:ind w:firstLine="567"/>
        <w:jc w:val="both"/>
      </w:pPr>
      <w:r>
        <w:rPr>
          <w:rFonts w:ascii="Arial" w:cs="Arial" w:eastAsia="Arial" w:hAnsi="Arial"/>
          <w:sz w:val="24"/>
          <w:szCs w:val="24"/>
        </w:rPr>
        <w:t xml:space="preserve">II этап - техническое оснащение автомобильных пунктов пропуска "Кызыл-Кия", "Кайрагач", "Кызыл-Бель" и железнодорожных пунктов пропуска "Кара-Суу", "Шамалдысай", "Кызыл-Кия" - переносными техническими средствами таможенного и радиационного контроля (срок - до 12 февраля 2016 года, выполнен);</w:t>
      </w:r>
    </w:p>
    <w:p>
      <w:pPr>
        <w:spacing w:after="60"/>
        <w:ind w:firstLine="567"/>
        <w:jc w:val="both"/>
      </w:pPr>
      <w:r>
        <w:rPr>
          <w:rFonts w:ascii="Arial" w:cs="Arial" w:eastAsia="Arial" w:hAnsi="Arial"/>
          <w:sz w:val="24"/>
          <w:szCs w:val="24"/>
        </w:rPr>
        <w:t xml:space="preserve">III этап - завершение всех работ по обустройству и техническому оснащению автомобильных пунктов пропуска "Торугарт" и "Иркештам", "Достук", "Кызыл-Кия", "Кайрагач", "Кызыл-Бель", "Карамык", "Бор-Добо", воздушных пунктов пропуска "Манас" и "Ош", железнодорожных пунктов пропуска "Кара-Суу", "Шамалдысай", "Кызыл-Кия" и "Джалал-Абад" (срок - до конца 2020 года, находится на стадии реализации).</w:t>
      </w:r>
    </w:p>
    <w:p>
      <w:pPr>
        <w:spacing w:after="60"/>
        <w:ind w:firstLine="567"/>
        <w:jc w:val="both"/>
      </w:pPr>
      <w:r>
        <w:rPr>
          <w:rFonts w:ascii="Arial" w:cs="Arial" w:eastAsia="Arial" w:hAnsi="Arial"/>
          <w:sz w:val="24"/>
          <w:szCs w:val="24"/>
        </w:rPr>
        <w:t xml:space="preserve">В рамках проводимых работ по модернизации кыргызских пунктов пропуска, автомобильные пункты пропуска "Торугарт", "Иркештам", "Достук", "Кызыл-Кия", "Кайрагач", "Кызыл-Бель" и "Карамык" будут оснащены инспекционно-досмотровыми комплексами (ИДК), которые предназначены для сканирования транспортных средств и товаров без вскрытия грузовых отделений (отсеков), что должно способствовать ускорению процесса проведения таможенного контроля и минимизировать случаи недостоверного декларирования.</w:t>
      </w:r>
    </w:p>
    <w:p>
      <w:pPr>
        <w:spacing w:after="60"/>
        <w:ind w:firstLine="567"/>
        <w:jc w:val="both"/>
      </w:pPr>
      <w:r>
        <w:rPr>
          <w:rFonts w:ascii="Arial" w:cs="Arial" w:eastAsia="Arial" w:hAnsi="Arial"/>
          <w:sz w:val="24"/>
          <w:szCs w:val="24"/>
        </w:rPr>
        <w:t xml:space="preserve">По составу и объемам финансирования рассматриваемые мероприятия в Кыргызской Республике реализуются впервые.</w:t>
      </w:r>
    </w:p>
    <w:p>
      <w:pPr>
        <w:spacing w:after="60"/>
        <w:ind w:firstLine="567"/>
        <w:jc w:val="both"/>
      </w:pPr>
      <w:r>
        <w:rPr>
          <w:rFonts w:ascii="Arial" w:cs="Arial" w:eastAsia="Arial" w:hAnsi="Arial"/>
          <w:sz w:val="24"/>
          <w:szCs w:val="24"/>
        </w:rPr>
        <w:t xml:space="preserve">Вместе с тем, положительная динамика развития вышеуказанных направлений не способствует полному решению существующих проблем в сфере таможенных правоотношений, в частности, связанных с недостоверным декларированием товаров, низкой скоростью прохождения товаров через таможенную границу, а также существующими коррупционными рисками. Наличие этих факторов создает определенные барьеры для бизнес-сообщества, что в конечном итоге влияет на темпы экономического роста и экономическую привлекательность Кыргызской Республики.</w:t>
      </w:r>
    </w:p>
    <w:p>
      <w:pPr>
        <w:spacing w:after="60"/>
        <w:ind w:firstLine="567"/>
        <w:jc w:val="both"/>
      </w:pPr>
      <w:r>
        <w:rPr>
          <w:rFonts w:ascii="Arial" w:cs="Arial" w:eastAsia="Arial" w:hAnsi="Arial"/>
          <w:sz w:val="24"/>
          <w:szCs w:val="24"/>
        </w:rPr>
        <w:t xml:space="preserve">В условиях международной интеграции одним из конкурентных преимуществ Кыргызской Республики будет совершенствование методов анализа, прогнозирования экономических тенденций и оперативное реагирование на изменения ВЭД как внутри страны, так и в регионе, а также качество и скорость услуг, оказываемых таможенной системой. Кроме того, в соответствии с нормами Таможенного </w:t>
      </w:r>
      <w:r>
        <w:rPr>
          <w:rFonts w:ascii="Arial" w:cs="Arial" w:eastAsia="Arial" w:hAnsi="Arial"/>
          <w:sz w:val="24"/>
          <w:szCs w:val="24"/>
        </w:rPr>
        <w:t xml:space="preserve">кодекса</w:t>
      </w:r>
      <w:r>
        <w:rPr>
          <w:rFonts w:ascii="Arial" w:cs="Arial" w:eastAsia="Arial" w:hAnsi="Arial"/>
          <w:sz w:val="24"/>
          <w:szCs w:val="24"/>
        </w:rPr>
        <w:t xml:space="preserve"> ЕАЭС и правовых актов ЕАЭС, законодательно закрепляющих перевод системы таможенного администрирования ВЭД в ЕАЭС с "бумажных" на электронные технологии, возникает острая необходимость в ускорении работ по цифровизации и автоматизации таможенных процессов. Это позволит значительно ускорить процессы прохождения таможенных формальностей и минимизировать "человеческий фактор" при принятии решений на всех этапах осуществления таможенных операций.</w:t>
      </w:r>
    </w:p>
    <w:p>
      <w:pPr>
        <w:spacing w:after="60"/>
        <w:ind w:firstLine="567"/>
        <w:jc w:val="both"/>
      </w:pPr>
      <w:r>
        <w:rPr>
          <w:rFonts w:ascii="Arial" w:cs="Arial" w:eastAsia="Arial" w:hAnsi="Arial"/>
          <w:sz w:val="24"/>
          <w:szCs w:val="24"/>
        </w:rPr>
        <w:t xml:space="preserve">Имеется необходимость в проведении активной работы по развитию информационных систем не только в таможенных органах, но и во всех контролирующих государственных органах Кыргызской Республики, и их взаимной интеграции в рамках национального проекта "Таза Коом", системы межведомственного электронного взаимодействия "Тундук" 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на период 2018-2022 годы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w:t>
      </w:r>
    </w:p>
    <w:p>
      <w:pPr>
        <w:spacing w:after="60"/>
        <w:ind w:firstLine="567"/>
        <w:jc w:val="both"/>
      </w:pPr>
      <w:r>
        <w:rPr>
          <w:rFonts w:ascii="Arial" w:cs="Arial" w:eastAsia="Arial" w:hAnsi="Arial"/>
          <w:sz w:val="24"/>
          <w:szCs w:val="24"/>
        </w:rPr>
        <w:t xml:space="preserve">Из-за повышения пошлин, сложности получения разрешительных документов, слабой инфраструктуры, качества продукции и выполнения новых требований технических регламентов ЕАЭС, выросли издержки производства и сократилась конкурентоспособность секторов экономики с высоким удельным весом импортируемых сырьевых материалов. В связи с этим, от государственных контролирующих органов требуется принять скоординированные меры по поддержке участников ВЭД, в части автоматизации и ускорения совершения таможенных операций.</w:t>
      </w:r>
    </w:p>
    <w:p>
      <w:pPr>
        <w:spacing w:after="60"/>
        <w:ind w:firstLine="567"/>
        <w:jc w:val="both"/>
      </w:pPr>
      <w:r>
        <w:rPr>
          <w:rFonts w:ascii="Arial" w:cs="Arial" w:eastAsia="Arial" w:hAnsi="Arial"/>
          <w:sz w:val="24"/>
          <w:szCs w:val="24"/>
        </w:rPr>
        <w:t xml:space="preserve">Кроме того, принимая во внимание улучшение внешнеэкономических показателей взаимной торговли и транзита товаров в результате развития международного сотрудничества Кыргызской Республики с Республикой Узбекистан, стратегическую важность и необходимость создания условий для социально-экономического развития регионов, возникла необходимость в возобновлении функционирования некоторых пунктов пропуска на кыргызско-узбекском участке государственной границы. Необходимо отметить, что Джалал-Абадская область граничит с Андижанской, Наманганской областями Республики Узбекистан, с численностью населения более 5,6 млн. человек. При этом, в данном регионе функционируют только пункты пропуска, предусматривающие упрощенный порядок пропуска товаров и транспортных средств.</w:t>
      </w:r>
    </w:p>
    <w:p>
      <w:pPr>
        <w:spacing w:after="60"/>
        <w:ind w:firstLine="567"/>
        <w:jc w:val="both"/>
      </w:pPr>
      <w:r>
        <w:rPr>
          <w:rFonts w:ascii="Arial" w:cs="Arial" w:eastAsia="Arial" w:hAnsi="Arial"/>
          <w:sz w:val="24"/>
          <w:szCs w:val="24"/>
        </w:rPr>
        <w:t xml:space="preserve">Переход и реализация инновационных подходов таможенного регулирования требует оптимизации организационной структуры и развития кадрового потенциала таможенной службы.</w:t>
      </w:r>
    </w:p>
    <w:p>
      <w:pPr>
        <w:spacing w:after="200" w:before="200"/>
        <w:jc w:val="center"/>
      </w:pPr>
      <w:r>
        <w:rPr>
          <w:rFonts w:ascii="Arial" w:cs="Arial" w:eastAsia="Arial" w:hAnsi="Arial"/>
          <w:b/>
          <w:bCs/>
          <w:sz w:val="24"/>
          <w:szCs w:val="24"/>
        </w:rPr>
        <w:t xml:space="preserve">Глава 3. Цель и приоритеты</w:t>
      </w:r>
    </w:p>
    <w:p>
      <w:pPr>
        <w:spacing w:after="60"/>
        <w:ind w:firstLine="567"/>
        <w:jc w:val="both"/>
      </w:pPr>
      <w:r>
        <w:rPr>
          <w:rFonts w:ascii="Arial" w:cs="Arial" w:eastAsia="Arial" w:hAnsi="Arial"/>
          <w:sz w:val="24"/>
          <w:szCs w:val="24"/>
        </w:rPr>
        <w:t xml:space="preserve">Стратегия определяет ключевые условия и приоритеты совершенствования таможенной службы на среднесрочную перспективу, с учетом тенденций развития таможенной службы, такие как автоматизация (цифровизация) таможенных процессов, применение системы управления рисками при принятии решений таможенными органами для ускорения, упрощения таможенных операций, тем самым создавая благоприятные условия для участников ВЭД, в том числе развития транзитного потенциала страны.</w:t>
      </w:r>
    </w:p>
    <w:p>
      <w:pPr>
        <w:spacing w:after="60"/>
        <w:ind w:firstLine="567"/>
        <w:jc w:val="both"/>
      </w:pPr>
      <w:r>
        <w:rPr>
          <w:rFonts w:ascii="Arial" w:cs="Arial" w:eastAsia="Arial" w:hAnsi="Arial"/>
          <w:sz w:val="24"/>
          <w:szCs w:val="24"/>
        </w:rPr>
        <w:t xml:space="preserve">Кроме того, цифровизация таможенных процессов также позволит снизить коррупционные риски в сфере таможенного дела.</w:t>
      </w:r>
    </w:p>
    <w:p>
      <w:pPr>
        <w:spacing w:after="60"/>
        <w:ind w:firstLine="567"/>
        <w:jc w:val="both"/>
      </w:pPr>
      <w:r>
        <w:rPr>
          <w:rFonts w:ascii="Arial" w:cs="Arial" w:eastAsia="Arial" w:hAnsi="Arial"/>
          <w:sz w:val="24"/>
          <w:szCs w:val="24"/>
        </w:rPr>
        <w:t xml:space="preserve">В этой связи, целью настоящей Стратегии является создание цифровой таможни на основе системы управления рисками с развитой таможенной инфраструктурой.</w:t>
      </w:r>
    </w:p>
    <w:p>
      <w:pPr>
        <w:spacing w:after="60"/>
        <w:ind w:firstLine="567"/>
        <w:jc w:val="both"/>
      </w:pPr>
      <w:r>
        <w:rPr>
          <w:rFonts w:ascii="Arial" w:cs="Arial" w:eastAsia="Arial" w:hAnsi="Arial"/>
          <w:sz w:val="24"/>
          <w:szCs w:val="24"/>
        </w:rPr>
        <w:t xml:space="preserve">Достижение стратегической цели будет обеспечено путем выполнения следующих приоритетных задач:</w:t>
      </w:r>
    </w:p>
    <w:p>
      <w:pPr>
        <w:spacing w:after="60"/>
        <w:ind w:firstLine="567"/>
        <w:jc w:val="both"/>
      </w:pPr>
      <w:r>
        <w:rPr>
          <w:rFonts w:ascii="Arial" w:cs="Arial" w:eastAsia="Arial" w:hAnsi="Arial"/>
          <w:sz w:val="24"/>
          <w:szCs w:val="24"/>
        </w:rPr>
        <w:t xml:space="preserve">- ускорение процесса совершения таможенных операций, посредством применения системы управления рисками и автоматизации таможенных процессов, а также развития электронного межведомственного взаимодействия (безбумажное декларирование);</w:t>
      </w:r>
    </w:p>
    <w:p>
      <w:pPr>
        <w:spacing w:after="60"/>
        <w:ind w:firstLine="567"/>
        <w:jc w:val="both"/>
      </w:pPr>
      <w:r>
        <w:rPr>
          <w:rFonts w:ascii="Arial" w:cs="Arial" w:eastAsia="Arial" w:hAnsi="Arial"/>
          <w:sz w:val="24"/>
          <w:szCs w:val="24"/>
        </w:rPr>
        <w:t xml:space="preserve">- развитие эффективной системы таможенного администрирования на основе анализа внешнеэкономических показателей, направленных на обеспечение экономической безопасности;</w:t>
      </w:r>
    </w:p>
    <w:p>
      <w:pPr>
        <w:spacing w:after="60"/>
        <w:ind w:firstLine="567"/>
        <w:jc w:val="both"/>
      </w:pPr>
      <w:r>
        <w:rPr>
          <w:rFonts w:ascii="Arial" w:cs="Arial" w:eastAsia="Arial" w:hAnsi="Arial"/>
          <w:sz w:val="24"/>
          <w:szCs w:val="24"/>
        </w:rPr>
        <w:t xml:space="preserve">- реализация наиболее эффективных форм государственно-частного партнерства в области развития таможенной инфраструктуры при гарантии полноценного присутствия государства в ключевых направлениях;</w:t>
      </w:r>
    </w:p>
    <w:p>
      <w:pPr>
        <w:spacing w:after="60"/>
        <w:ind w:firstLine="567"/>
        <w:jc w:val="both"/>
      </w:pPr>
      <w:r>
        <w:rPr>
          <w:rFonts w:ascii="Arial" w:cs="Arial" w:eastAsia="Arial" w:hAnsi="Arial"/>
          <w:sz w:val="24"/>
          <w:szCs w:val="24"/>
        </w:rPr>
        <w:t xml:space="preserve">- достаточное ресурсное обеспечение таможенной службы, в части профессионального человеческого потенциала и справедливой мотивации.</w:t>
      </w:r>
    </w:p>
    <w:p>
      <w:pPr>
        <w:spacing w:after="60"/>
        <w:ind w:firstLine="567"/>
        <w:jc w:val="both"/>
      </w:pPr>
      <w:r>
        <w:rPr>
          <w:rFonts w:ascii="Arial" w:cs="Arial" w:eastAsia="Arial" w:hAnsi="Arial"/>
          <w:sz w:val="24"/>
          <w:szCs w:val="24"/>
        </w:rPr>
        <w:t xml:space="preserve">Вместе с тем следует отметить, что Стратегия разработана с учетом положений Соглашения по упрощению процедур торговли, ратифицированного </w:t>
      </w:r>
      <w:hyperlink w:history="1" r:id="rId9ik7rjiy1pgippd2pnbd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22 ноября 2016 года № 183.</w:t>
      </w:r>
    </w:p>
    <w:p>
      <w:pPr>
        <w:spacing w:after="200" w:before="200"/>
        <w:jc w:val="center"/>
      </w:pPr>
      <w:r>
        <w:rPr>
          <w:rFonts w:ascii="Arial" w:cs="Arial" w:eastAsia="Arial" w:hAnsi="Arial"/>
          <w:b/>
          <w:bCs/>
          <w:sz w:val="24"/>
          <w:szCs w:val="24"/>
        </w:rPr>
        <w:t xml:space="preserve">Глава 4. Задачи и меры</w:t>
      </w:r>
    </w:p>
    <w:p>
      <w:pPr>
        <w:spacing w:after="60"/>
        <w:ind w:firstLine="567"/>
        <w:jc w:val="both"/>
      </w:pPr>
      <w:r>
        <w:rPr>
          <w:rFonts w:ascii="Arial" w:cs="Arial" w:eastAsia="Arial" w:hAnsi="Arial"/>
          <w:sz w:val="24"/>
          <w:szCs w:val="24"/>
        </w:rPr>
        <w:t xml:space="preserve">Для достижения поставленной цели и реализации указанных приоритетных задач в Стратегии предусмотрены нижеперечисленные задачи и меры, а также План мероприятий по реализации настоящей Стратегии.</w:t>
      </w:r>
    </w:p>
    <w:p>
      <w:pPr>
        <w:spacing w:after="200" w:before="200"/>
        <w:jc w:val="center"/>
      </w:pPr>
      <w:r>
        <w:rPr>
          <w:rFonts w:ascii="Arial" w:cs="Arial" w:eastAsia="Arial" w:hAnsi="Arial"/>
          <w:b/>
          <w:bCs/>
          <w:sz w:val="24"/>
          <w:szCs w:val="24"/>
        </w:rPr>
        <w:t xml:space="preserve">§ 1. Автоматизация и использование современных цифровых технологий во всех таможенных процессах (Проект "Цифровая таможня")</w:t>
      </w:r>
    </w:p>
    <w:p>
      <w:pPr>
        <w:spacing w:after="60"/>
        <w:ind w:firstLine="567"/>
        <w:jc w:val="both"/>
      </w:pPr>
      <w:r>
        <w:rPr>
          <w:rFonts w:ascii="Arial" w:cs="Arial" w:eastAsia="Arial" w:hAnsi="Arial"/>
          <w:sz w:val="24"/>
          <w:szCs w:val="24"/>
        </w:rPr>
        <w:t xml:space="preserve">Автоматизация и использование современных цифровых технологий во всех таможенных процессах снизит временные издержки участников ВЭД при таможенном оформлении товаров и транспортных средств, создаст благоприятные условия для осуществления ВЭД. Кроме того, позволит обеспечить снижение коррупционных рисков за счет исключения контакта сотрудников таможенной службы с участниками ВЭД.</w:t>
      </w:r>
    </w:p>
    <w:p>
      <w:pPr>
        <w:spacing w:after="60"/>
        <w:ind w:firstLine="567"/>
        <w:jc w:val="both"/>
      </w:pPr>
      <w:r>
        <w:rPr>
          <w:rFonts w:ascii="Arial" w:cs="Arial" w:eastAsia="Arial" w:hAnsi="Arial"/>
          <w:sz w:val="24"/>
          <w:szCs w:val="24"/>
        </w:rPr>
        <w:t xml:space="preserve">Для реализации данной задачи планируется:</w:t>
      </w:r>
    </w:p>
    <w:p>
      <w:pPr>
        <w:spacing w:after="60"/>
        <w:ind w:firstLine="567"/>
        <w:jc w:val="both"/>
      </w:pPr>
      <w:r>
        <w:rPr>
          <w:rFonts w:ascii="Arial" w:cs="Arial" w:eastAsia="Arial" w:hAnsi="Arial"/>
          <w:sz w:val="24"/>
          <w:szCs w:val="24"/>
        </w:rPr>
        <w:t xml:space="preserve">- дальнейшее развитие электронного таможенного декларирования и системы автоматического выпуска товаров, автоматизация первичного весогабаритного контроля в пунктах пропуска, интеграция системы таможенной службы с системами коммерческих банков для подтверждения уплаты таможенных платежей в режиме онлайн, а также обеспечение достоверности и полноты сведений в первичной документации;</w:t>
      </w:r>
    </w:p>
    <w:p>
      <w:pPr>
        <w:spacing w:after="60"/>
        <w:ind w:firstLine="567"/>
        <w:jc w:val="both"/>
      </w:pPr>
      <w:r>
        <w:rPr>
          <w:rFonts w:ascii="Arial" w:cs="Arial" w:eastAsia="Arial" w:hAnsi="Arial"/>
          <w:sz w:val="24"/>
          <w:szCs w:val="24"/>
        </w:rPr>
        <w:t xml:space="preserve">- внедрение единой автоматизированной системы контролирующих органов в пункте пропуска по принципу "Одна остановка", внедрение и развитие механизмов приоритетного прохождения через таможенную границу при международном транзите и перевозке сельскохозяйственной продукции, внедрение электронной системы контроля отслеживания и доставки товаров и транспортных средств до таможенного органа назначения, а также автоматизация таможенного досмотра.</w:t>
      </w:r>
    </w:p>
    <w:p>
      <w:pPr>
        <w:spacing w:after="60"/>
        <w:ind w:firstLine="567"/>
        <w:jc w:val="both"/>
      </w:pPr>
      <w:r>
        <w:rPr>
          <w:rFonts w:ascii="Arial" w:cs="Arial" w:eastAsia="Arial" w:hAnsi="Arial"/>
          <w:sz w:val="24"/>
          <w:szCs w:val="24"/>
        </w:rPr>
        <w:t xml:space="preserve">При этом, необходимо на всех этапах проведения таможенного контроля и совершения таможенных операций внедрить и совершенствовать уже имеющиеся инструменты системы управления рисками. Система управления рисками и посттаможенный контроль после выпуска товаров будут являться основными приоритетами при цифровизации таможенных процессов.</w:t>
      </w:r>
    </w:p>
    <w:p>
      <w:pPr>
        <w:spacing w:after="200" w:before="200"/>
        <w:jc w:val="center"/>
      </w:pPr>
      <w:r>
        <w:rPr>
          <w:rFonts w:ascii="Arial" w:cs="Arial" w:eastAsia="Arial" w:hAnsi="Arial"/>
          <w:b/>
          <w:bCs/>
          <w:sz w:val="24"/>
          <w:szCs w:val="24"/>
        </w:rPr>
        <w:t xml:space="preserve">§ 2. Улучшение эффективности системы таможенного администрирования на основе анализа внешнеэкономических показателей. Развитие транзитного потенциала</w:t>
      </w:r>
    </w:p>
    <w:p>
      <w:pPr>
        <w:spacing w:after="60"/>
        <w:ind w:firstLine="567"/>
        <w:jc w:val="both"/>
      </w:pPr>
      <w:r>
        <w:rPr>
          <w:rFonts w:ascii="Arial" w:cs="Arial" w:eastAsia="Arial" w:hAnsi="Arial"/>
          <w:sz w:val="24"/>
          <w:szCs w:val="24"/>
        </w:rPr>
        <w:t xml:space="preserve">При условиях унифицированного таможенного законодательства и тарифной политики в рамках ЕАЭС, а также недостаточного уровня развития таможенно-логистической инфраструктуры возникла необходимость принятия оперативных и адекватных решений для повышения эффективности администрирования таможенных платежей.</w:t>
      </w:r>
    </w:p>
    <w:p>
      <w:pPr>
        <w:spacing w:after="60"/>
        <w:ind w:firstLine="567"/>
        <w:jc w:val="both"/>
      </w:pPr>
      <w:r>
        <w:rPr>
          <w:rFonts w:ascii="Arial" w:cs="Arial" w:eastAsia="Arial" w:hAnsi="Arial"/>
          <w:sz w:val="24"/>
          <w:szCs w:val="24"/>
        </w:rPr>
        <w:t xml:space="preserve">Реализация данной Стратегии позволит усилить аналитическую составляющую на всех уровнях управления, улучшить координацию деятельности и взаимодействие структурных подразделений в рамках исполнения стратегических целей таможенной службы, а также, предоставит возможность развивать методологическую составляющую анализа деятельности таможенных органов для улучшения эффективности применения национальных стоимостных индикаторов риска.</w:t>
      </w:r>
    </w:p>
    <w:p>
      <w:pPr>
        <w:spacing w:after="60"/>
        <w:ind w:firstLine="567"/>
        <w:jc w:val="both"/>
      </w:pPr>
      <w:r>
        <w:rPr>
          <w:rFonts w:ascii="Arial" w:cs="Arial" w:eastAsia="Arial" w:hAnsi="Arial"/>
          <w:sz w:val="24"/>
          <w:szCs w:val="24"/>
        </w:rPr>
        <w:t xml:space="preserve">В этой связи в данной Стратегии предусматриваются мероприятия по совершенствованию аналитических функций, призванных отслеживать происходящие изменения во внешнеторговой деятельности.</w:t>
      </w:r>
    </w:p>
    <w:p>
      <w:pPr>
        <w:spacing w:after="60"/>
        <w:ind w:firstLine="567"/>
        <w:jc w:val="both"/>
      </w:pPr>
      <w:r>
        <w:rPr>
          <w:rFonts w:ascii="Arial" w:cs="Arial" w:eastAsia="Arial" w:hAnsi="Arial"/>
          <w:sz w:val="24"/>
          <w:szCs w:val="24"/>
        </w:rPr>
        <w:t xml:space="preserve">Одними из основных задач в данном направлении являются анализ основных направлений развития таможенной службы, анализ эффективности деятельности структурных подразделений таможенных органов, экономический анализ изменений и тенденций во внешнеторговой деятельности, включая изменения внешнеэкономической политики соседних стран, а также моделирование стратегических альтернатив развития, включая внесение своевременных предложений по улучшению таможенного администрирования, минимизации рисков и вызовов, а также обеспечение экономической безопасности страны.</w:t>
      </w:r>
    </w:p>
    <w:p>
      <w:pPr>
        <w:spacing w:after="60"/>
        <w:ind w:firstLine="567"/>
        <w:jc w:val="both"/>
      </w:pPr>
      <w:r>
        <w:rPr>
          <w:rFonts w:ascii="Arial" w:cs="Arial" w:eastAsia="Arial" w:hAnsi="Arial"/>
          <w:sz w:val="24"/>
          <w:szCs w:val="24"/>
        </w:rPr>
        <w:t xml:space="preserve">Также, необходимо на постоянной основе осуществлять мероприятия по улучшению межведомственного взаимодействия, в части автоматизации, ускорения совершения таможенных операций и развитие транзитного потенциала.</w:t>
      </w:r>
    </w:p>
    <w:p>
      <w:pPr>
        <w:spacing w:after="60"/>
        <w:ind w:firstLine="567"/>
        <w:jc w:val="both"/>
      </w:pPr>
      <w:r>
        <w:rPr>
          <w:rFonts w:ascii="Arial" w:cs="Arial" w:eastAsia="Arial" w:hAnsi="Arial"/>
          <w:sz w:val="24"/>
          <w:szCs w:val="24"/>
        </w:rPr>
        <w:t xml:space="preserve">С точки зрения специфики под транзитным потенциалом понимается совокупность внешних и внутренних факторов и условий, определяющих возможности государства по обеспечению международного транзита через свою территорию. Эффективность использования этого потенциала определяется способностью государства в полной мере реализовать имеющиеся ресурсы.</w:t>
      </w:r>
    </w:p>
    <w:p>
      <w:pPr>
        <w:spacing w:after="60"/>
        <w:ind w:firstLine="567"/>
        <w:jc w:val="both"/>
      </w:pPr>
      <w:r>
        <w:rPr>
          <w:rFonts w:ascii="Arial" w:cs="Arial" w:eastAsia="Arial" w:hAnsi="Arial"/>
          <w:sz w:val="24"/>
          <w:szCs w:val="24"/>
        </w:rPr>
        <w:t xml:space="preserve">Кыргызская Республика находится в самом центре Евразийского континента и имеет выгодное географическое положение, что дает ей возможность доступа на большие рынки соседних стран.</w:t>
      </w:r>
    </w:p>
    <w:p>
      <w:pPr>
        <w:spacing w:after="60"/>
        <w:ind w:firstLine="567"/>
        <w:jc w:val="both"/>
      </w:pPr>
      <w:r>
        <w:rPr>
          <w:rFonts w:ascii="Arial" w:cs="Arial" w:eastAsia="Arial" w:hAnsi="Arial"/>
          <w:sz w:val="24"/>
          <w:szCs w:val="24"/>
        </w:rPr>
        <w:t xml:space="preserve">При этом Кыргызская Республика, несмотря на то, что расположена в горной местности, обладает всеми необходимыми ресурсами, автотранспортными, воздушными и железнодорожными линиями, кроме выхода к основным морским торговым путям.</w:t>
      </w:r>
    </w:p>
    <w:p>
      <w:pPr>
        <w:spacing w:after="60"/>
        <w:ind w:firstLine="567"/>
        <w:jc w:val="both"/>
      </w:pPr>
      <w:r>
        <w:rPr>
          <w:rFonts w:ascii="Arial" w:cs="Arial" w:eastAsia="Arial" w:hAnsi="Arial"/>
          <w:sz w:val="24"/>
          <w:szCs w:val="24"/>
        </w:rPr>
        <w:t xml:space="preserve">В связи с этим данной Стратегией предусматриваются следующие мероприятия:</w:t>
      </w:r>
    </w:p>
    <w:p>
      <w:pPr>
        <w:spacing w:after="60"/>
        <w:ind w:firstLine="567"/>
        <w:jc w:val="both"/>
      </w:pPr>
      <w:r>
        <w:rPr>
          <w:rFonts w:ascii="Arial" w:cs="Arial" w:eastAsia="Arial" w:hAnsi="Arial"/>
          <w:sz w:val="24"/>
          <w:szCs w:val="24"/>
        </w:rPr>
        <w:t xml:space="preserve">- по развитию таможенно-логистических центров и придорожной инфраструктуры на основе непрерывного изучения передового международного опыта;</w:t>
      </w:r>
    </w:p>
    <w:p>
      <w:pPr>
        <w:spacing w:after="60"/>
        <w:ind w:firstLine="567"/>
        <w:jc w:val="both"/>
      </w:pPr>
      <w:r>
        <w:rPr>
          <w:rFonts w:ascii="Arial" w:cs="Arial" w:eastAsia="Arial" w:hAnsi="Arial"/>
          <w:sz w:val="24"/>
          <w:szCs w:val="24"/>
        </w:rPr>
        <w:t xml:space="preserve">- по гармонизации и приведению весогабаритных параметров транспортных средств с весогабаритными параметрами, установленными в государствах-членах ЕАЭС;</w:t>
      </w:r>
    </w:p>
    <w:p>
      <w:pPr>
        <w:spacing w:after="60"/>
        <w:ind w:firstLine="567"/>
        <w:jc w:val="both"/>
      </w:pPr>
      <w:r>
        <w:rPr>
          <w:rFonts w:ascii="Arial" w:cs="Arial" w:eastAsia="Arial" w:hAnsi="Arial"/>
          <w:sz w:val="24"/>
          <w:szCs w:val="24"/>
        </w:rPr>
        <w:t xml:space="preserve">- по проведению исследований о влиянии весовых параметров транспортных средств на дорожное полотно при осуществлении перевозок по автомобильным дорогам общего пользования в зимнее (холодное) время года, в части допустимых весогабаритных параметров;</w:t>
      </w:r>
    </w:p>
    <w:p>
      <w:pPr>
        <w:spacing w:after="60"/>
        <w:ind w:firstLine="567"/>
        <w:jc w:val="both"/>
      </w:pPr>
      <w:r>
        <w:rPr>
          <w:rFonts w:ascii="Arial" w:cs="Arial" w:eastAsia="Arial" w:hAnsi="Arial"/>
          <w:sz w:val="24"/>
          <w:szCs w:val="24"/>
        </w:rPr>
        <w:t xml:space="preserve">- по внедрению дополнительных идентификационных знаков для упрощенного прохождения транспортных средств международной перевозки через территорию Кыргызской Республики по процедуре транзита и внедрения механизма оплаты причитающихся платежей по принципу "Один платеж" для транспортных средств международной перевозки, следующих по процедуре транзита.</w:t>
      </w:r>
    </w:p>
    <w:p>
      <w:pPr>
        <w:spacing w:after="60"/>
        <w:ind w:firstLine="567"/>
        <w:jc w:val="both"/>
      </w:pPr>
      <w:r>
        <w:rPr>
          <w:rFonts w:ascii="Arial" w:cs="Arial" w:eastAsia="Arial" w:hAnsi="Arial"/>
          <w:sz w:val="24"/>
          <w:szCs w:val="24"/>
        </w:rPr>
        <w:t xml:space="preserve">Кроме того, учитывая темпы роста осуществления торговли физическими лицами посредством интернет-ресурсов (интернет-торговля) и ввоза на таможенную территорию Евразийского экономического союза международных почтовых отправлений, товаров, приобретаемых посредством интернет-торговли, необходимо обеспечить условия по созданию назначенным оператором Кыргызской Республики мест международного почтового обмена (ММПО), пунктов международного почтового обмена (ПМПО) и обменных пунктов почты при аэропортах (АОПП), в зависимости от вида транспорта, участвующего в перевозке международных почтовых отправлений и товаров, приобретаемых посредством интернет-торговли (в том числе за пределами Кыргызской Республики), а также автоматизировать процесс совершения таможенных операций в отношении таких товаров, с применением системы управления рисками.</w:t>
      </w:r>
    </w:p>
    <w:p>
      <w:pPr>
        <w:spacing w:after="60"/>
        <w:ind w:firstLine="567"/>
        <w:jc w:val="both"/>
      </w:pPr>
      <w:r>
        <w:rPr>
          <w:rFonts w:ascii="Arial" w:cs="Arial" w:eastAsia="Arial" w:hAnsi="Arial"/>
          <w:sz w:val="24"/>
          <w:szCs w:val="24"/>
        </w:rPr>
        <w:t xml:space="preserve">Вместе с тем, в целях создания благоприятных условий для участников ВЭД и транзитной привлекательности страны, данной Стратегией предусматриваются мероприятия по проведению анализа целесообразности открытия/изменения статуса пунктов пропуска, расположенных на кыргызско-узбекском и кыргызско-таджикском участках государственной границы, в том числе обустройство и техническое оснащение пунктов пропуска в соответствии с Решением Комиссии Таможенного союза "О Единых требованиях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государств-членов Таможенного союза, и форме паспорта пункта пропуска через внешнюю границу государств-членов Таможенного союза" от 22 июня 2011 года № 688.</w:t>
      </w:r>
    </w:p>
    <w:p>
      <w:pPr>
        <w:spacing w:after="200" w:before="200"/>
        <w:jc w:val="center"/>
      </w:pPr>
      <w:r>
        <w:rPr>
          <w:rFonts w:ascii="Arial" w:cs="Arial" w:eastAsia="Arial" w:hAnsi="Arial"/>
          <w:b/>
          <w:bCs/>
          <w:sz w:val="24"/>
          <w:szCs w:val="24"/>
        </w:rPr>
        <w:t xml:space="preserve">§ 3. Развитие таможенной инфраструктуры</w:t>
      </w:r>
    </w:p>
    <w:p>
      <w:pPr>
        <w:spacing w:after="60"/>
        <w:ind w:firstLine="567"/>
        <w:jc w:val="both"/>
      </w:pPr>
      <w:r>
        <w:rPr>
          <w:rFonts w:ascii="Arial" w:cs="Arial" w:eastAsia="Arial" w:hAnsi="Arial"/>
          <w:sz w:val="24"/>
          <w:szCs w:val="24"/>
        </w:rPr>
        <w:t xml:space="preserve">Наряду с приведением информационных технологий и информационно-программных средств таможенной службы в соответствие с требованиями таможенного законодательства ЕАЭС и завершением мероприятий по реализации "Дорожной карты" по присоединению Кыргызской Республики к Таможенному союзу в части оснащения и обустройства пунктов пропуска, планируется:</w:t>
      </w:r>
    </w:p>
    <w:p>
      <w:pPr>
        <w:spacing w:after="60"/>
        <w:ind w:firstLine="567"/>
        <w:jc w:val="both"/>
      </w:pPr>
      <w:r>
        <w:rPr>
          <w:rFonts w:ascii="Arial" w:cs="Arial" w:eastAsia="Arial" w:hAnsi="Arial"/>
          <w:sz w:val="24"/>
          <w:szCs w:val="24"/>
        </w:rPr>
        <w:t xml:space="preserve">- создание таможенной лаборатории для осуществления оперативной таможенной экспертизы;</w:t>
      </w:r>
    </w:p>
    <w:p>
      <w:pPr>
        <w:spacing w:after="60"/>
        <w:ind w:firstLine="567"/>
        <w:jc w:val="both"/>
      </w:pPr>
      <w:r>
        <w:rPr>
          <w:rFonts w:ascii="Arial" w:cs="Arial" w:eastAsia="Arial" w:hAnsi="Arial"/>
          <w:sz w:val="24"/>
          <w:szCs w:val="24"/>
        </w:rPr>
        <w:t xml:space="preserve">- улучшение учета и повышение контроля за товарами, находящимися под таможенным контролем на складах временного хранения, таможенных складах, магазинах беспошлинной торговли, свободных складах и свободных экономических зонах;</w:t>
      </w:r>
    </w:p>
    <w:p>
      <w:pPr>
        <w:spacing w:after="60"/>
        <w:ind w:firstLine="567"/>
        <w:jc w:val="both"/>
      </w:pPr>
      <w:r>
        <w:rPr>
          <w:rFonts w:ascii="Arial" w:cs="Arial" w:eastAsia="Arial" w:hAnsi="Arial"/>
          <w:sz w:val="24"/>
          <w:szCs w:val="24"/>
        </w:rPr>
        <w:t xml:space="preserve">- обеспечение техническими специальными средствами соответствующих подразделений.</w:t>
      </w:r>
    </w:p>
    <w:p>
      <w:pPr>
        <w:spacing w:after="60"/>
        <w:ind w:firstLine="567"/>
        <w:jc w:val="both"/>
      </w:pPr>
      <w:r>
        <w:rPr>
          <w:rFonts w:ascii="Arial" w:cs="Arial" w:eastAsia="Arial" w:hAnsi="Arial"/>
          <w:sz w:val="24"/>
          <w:szCs w:val="24"/>
        </w:rPr>
        <w:t xml:space="preserve">Обеспечение сотрудников таможенной службы техническими специальными средствами позволит не только ускорить таможенный контроль, но и повысить его эффективность, сократить время оформления грузов для участников ВЭД. К примеру, установка инспекционно-досмотровых комплексов позволит идентифицировать содержимое груза, тем самым исключая необходимость в дополнительном досмотре грузов. Кроме того, активное применение технических средств таможенного контроля снизит участие человеческого фактора, что в свою очередь повлияет на снижение коррупционных рисков при оформлении грузов.</w:t>
      </w:r>
    </w:p>
    <w:p>
      <w:pPr>
        <w:spacing w:after="60"/>
        <w:ind w:firstLine="567"/>
        <w:jc w:val="both"/>
      </w:pPr>
      <w:r>
        <w:rPr>
          <w:rFonts w:ascii="Arial" w:cs="Arial" w:eastAsia="Arial" w:hAnsi="Arial"/>
          <w:sz w:val="24"/>
          <w:szCs w:val="24"/>
        </w:rPr>
        <w:t xml:space="preserve">Реализация наиболее эффективных форм государственно-частного партнерства в области развития таможенной инфраструктуры будет осуществляться путем создания на базе Государственного предприятия "Таможенная инфраструктура" при Государственной таможенной службе при Правительстве Кыргызской Республики (далее - ГП "Таможенная инфраструктура") полноценного логистического оператора (проект "Бажытранссервис"), осуществляющего оказание широкого спектра услуг: планирование, транспортировка, складирование, хранение, таможенное оформление товаров. Также, предусмотрены мероприятия по увеличению фондов ГП "Таможенная инфраструктура" за счет реализации проектов, направленных на получение прибыли, путем обеспечения долевого участия ГП "Таможенная инфраструктура" в таможенно-инфраструктурных проектах по учреждению деятельности складов временного хранения, таможенных складов, магазинов беспошлинной торговли, а также в коммерческих проектах, не связанных с таможенным делом.</w:t>
      </w:r>
    </w:p>
    <w:p>
      <w:pPr>
        <w:spacing w:after="200" w:before="200"/>
        <w:jc w:val="center"/>
      </w:pPr>
      <w:r>
        <w:rPr>
          <w:rFonts w:ascii="Arial" w:cs="Arial" w:eastAsia="Arial" w:hAnsi="Arial"/>
          <w:b/>
          <w:bCs/>
          <w:sz w:val="24"/>
          <w:szCs w:val="24"/>
        </w:rPr>
        <w:t xml:space="preserve">§ 4. Организация эффективного противодействия правонарушениям в сфере таможенного дела</w:t>
      </w:r>
    </w:p>
    <w:p>
      <w:pPr>
        <w:spacing w:after="60"/>
        <w:ind w:firstLine="567"/>
        <w:jc w:val="both"/>
      </w:pPr>
      <w:r>
        <w:rPr>
          <w:rFonts w:ascii="Arial" w:cs="Arial" w:eastAsia="Arial" w:hAnsi="Arial"/>
          <w:sz w:val="24"/>
          <w:szCs w:val="24"/>
        </w:rPr>
        <w:t xml:space="preserve">В условиях членства в ЕАЭС, либерализации законодательства, регулирующего внешнеторговую деятельность, ускорения совершения таможенных операций и внедрения принципа выборочности при осуществлении таможенного контроля значительно возрастают требования к эффективности правоохранительной деятельности таможенных органов. Наряду с основными направлениями правоохранительной деятельности таможенных органов по предупреждению, выявлению, пресечению, преступлений и правонарушений, приоритетной задачей становится профилактика преступлений и нарушений в таможенной сфере, пресечение незаконного оборота наркотиков и предупреждение террористических угроз.</w:t>
      </w:r>
    </w:p>
    <w:p>
      <w:pPr>
        <w:spacing w:after="60"/>
        <w:ind w:firstLine="567"/>
        <w:jc w:val="both"/>
      </w:pPr>
      <w:r>
        <w:rPr>
          <w:rFonts w:ascii="Arial" w:cs="Arial" w:eastAsia="Arial" w:hAnsi="Arial"/>
          <w:sz w:val="24"/>
          <w:szCs w:val="24"/>
        </w:rPr>
        <w:t xml:space="preserve">Унификация информационных систем государственных органов для межведомственного обмена данными, введение информационного учета и обмена данными в отношении субъектов ВЭД, входящих в группу риска, а также совершенствование материально-технической базы правоохранительных подразделений повысит эффективность и оперативность работы правоохранительных подразделений. Необходимо продолжить активизацию межведомственного взаимодействия с правоохранительными органами, путем проведения совместных рейдов, встречных проверок, усилить оперативный состав сотрудниками, владеющими навыками оперативно-розыскной деятельности, обеспечить материально-техническими и финансовыми ресурсами.</w:t>
      </w:r>
    </w:p>
    <w:p>
      <w:pPr>
        <w:spacing w:after="60"/>
        <w:ind w:firstLine="567"/>
        <w:jc w:val="both"/>
      </w:pPr>
      <w:r>
        <w:rPr>
          <w:rFonts w:ascii="Arial" w:cs="Arial" w:eastAsia="Arial" w:hAnsi="Arial"/>
          <w:sz w:val="24"/>
          <w:szCs w:val="24"/>
        </w:rPr>
        <w:t xml:space="preserve">Данные мероприятия позволят снизить долю незаконного перемещения товаров.</w:t>
      </w:r>
    </w:p>
    <w:p>
      <w:pPr>
        <w:spacing w:after="200" w:before="200"/>
        <w:jc w:val="center"/>
      </w:pPr>
      <w:r>
        <w:rPr>
          <w:rFonts w:ascii="Arial" w:cs="Arial" w:eastAsia="Arial" w:hAnsi="Arial"/>
          <w:b/>
          <w:bCs/>
          <w:sz w:val="24"/>
          <w:szCs w:val="24"/>
        </w:rPr>
        <w:t xml:space="preserve">§ 5. Противодействие коррупции и повышение уровня доверия участников внешнеэкономической деятельности к таможенной службе</w:t>
      </w:r>
    </w:p>
    <w:p>
      <w:pPr>
        <w:spacing w:after="60"/>
        <w:ind w:firstLine="567"/>
        <w:jc w:val="both"/>
      </w:pPr>
      <w:r>
        <w:rPr>
          <w:rFonts w:ascii="Arial" w:cs="Arial" w:eastAsia="Arial" w:hAnsi="Arial"/>
          <w:sz w:val="24"/>
          <w:szCs w:val="24"/>
        </w:rPr>
        <w:t xml:space="preserve">Предупреждение, пресечение и выявление преступлений коррупционной направленности остаются важнейшими направлениями работы таможенной службы.</w:t>
      </w:r>
    </w:p>
    <w:p>
      <w:pPr>
        <w:spacing w:after="60"/>
        <w:ind w:firstLine="567"/>
        <w:jc w:val="both"/>
      </w:pPr>
      <w:r>
        <w:rPr>
          <w:rFonts w:ascii="Arial" w:cs="Arial" w:eastAsia="Arial" w:hAnsi="Arial"/>
          <w:sz w:val="24"/>
          <w:szCs w:val="24"/>
        </w:rPr>
        <w:t xml:space="preserve">В этой связи, наряду с автоматизацией таможенных процессов, позволяющей обеспечить прозрачность совершения таможенных операций, предусматривается ряд мероприятий, направленных на антикоррупционную деятельность таможенных органов, в частности внедрение системы видеонаблюдения с трансформацией видеоданных в центральный аппарат таможенной службы для проведения мониторинга рабочих процессов в режиме онлайн, внедрение системы "электронной очереди", проведение совместных мероприятий с бизнес-сообществом.</w:t>
      </w:r>
    </w:p>
    <w:p>
      <w:pPr>
        <w:spacing w:after="60"/>
        <w:ind w:firstLine="567"/>
        <w:jc w:val="both"/>
      </w:pPr>
      <w:r>
        <w:rPr>
          <w:rFonts w:ascii="Arial" w:cs="Arial" w:eastAsia="Arial" w:hAnsi="Arial"/>
          <w:sz w:val="24"/>
          <w:szCs w:val="24"/>
        </w:rPr>
        <w:t xml:space="preserve">Кроме того, в целях формирования положительного имиджа таможенной службы будет реализован ряд мероприятий по повышению уровня доверия населения к сотрудникам и в целом к службе.</w:t>
      </w:r>
    </w:p>
    <w:p>
      <w:pPr>
        <w:spacing w:after="200" w:before="200"/>
        <w:jc w:val="center"/>
      </w:pPr>
      <w:r>
        <w:rPr>
          <w:rFonts w:ascii="Arial" w:cs="Arial" w:eastAsia="Arial" w:hAnsi="Arial"/>
          <w:b/>
          <w:bCs/>
          <w:sz w:val="24"/>
          <w:szCs w:val="24"/>
        </w:rPr>
        <w:t xml:space="preserve">§ 6. Совершенствование системы управления и повышение кадрового потенциала</w:t>
      </w:r>
    </w:p>
    <w:p>
      <w:pPr>
        <w:spacing w:after="60"/>
        <w:ind w:firstLine="567"/>
        <w:jc w:val="both"/>
      </w:pPr>
      <w:r>
        <w:rPr>
          <w:rFonts w:ascii="Arial" w:cs="Arial" w:eastAsia="Arial" w:hAnsi="Arial"/>
          <w:sz w:val="24"/>
          <w:szCs w:val="24"/>
        </w:rPr>
        <w:t xml:space="preserve">По мере внедрения автоматизации таможенных процессов, а также развития взаимодействия с основными торговыми странами-партнерами необходимо проводить поэтапную оптимизацию схемы управления и штатной численности таможенной службы.</w:t>
      </w:r>
    </w:p>
    <w:p>
      <w:pPr>
        <w:spacing w:after="60"/>
        <w:ind w:firstLine="567"/>
        <w:jc w:val="both"/>
      </w:pPr>
      <w:r>
        <w:rPr>
          <w:rFonts w:ascii="Arial" w:cs="Arial" w:eastAsia="Arial" w:hAnsi="Arial"/>
          <w:sz w:val="24"/>
          <w:szCs w:val="24"/>
        </w:rPr>
        <w:t xml:space="preserve">Настоящая Стратегия также предусматривает мероприятия по проработке совместно с таможенной службой Китайской Народной Республики вопроса об учреждении Представительства таможенной службы Кыргызской Республики при таможенной службе Китайской Народной Республике (далее - КНР).</w:t>
      </w:r>
    </w:p>
    <w:p>
      <w:pPr>
        <w:spacing w:after="60"/>
        <w:ind w:firstLine="567"/>
        <w:jc w:val="both"/>
      </w:pPr>
      <w:r>
        <w:rPr>
          <w:rFonts w:ascii="Arial" w:cs="Arial" w:eastAsia="Arial" w:hAnsi="Arial"/>
          <w:sz w:val="24"/>
          <w:szCs w:val="24"/>
        </w:rPr>
        <w:t xml:space="preserve">Необходимость проработки данного вопроса, в первую очередь, обусловлена большим потоком товаров, импортируемых с территории КНР. Так, удельный вес товаров, импортируемых с территории КНР, составляет порядка 53% от общего количества импорта.</w:t>
      </w:r>
    </w:p>
    <w:p>
      <w:pPr>
        <w:spacing w:after="60"/>
        <w:ind w:firstLine="567"/>
        <w:jc w:val="both"/>
      </w:pPr>
      <w:r>
        <w:rPr>
          <w:rFonts w:ascii="Arial" w:cs="Arial" w:eastAsia="Arial" w:hAnsi="Arial"/>
          <w:sz w:val="24"/>
          <w:szCs w:val="24"/>
        </w:rPr>
        <w:t xml:space="preserve">В связи с чем, в целях обеспечения проведения оперативного анализа данных о товаропотоках, перемещаемых через кыргызско-китайский участок государственной границы, анализа осуществления в стране пребывания таможенного и иных видов государственного контроля, изучения таможенных технологий, применяемых таможенной службой страны пребывания, и информирования о положительном опыте возникает необходимость в наличии Представительства таможенной службы Кыргызской Республики при таможенной службе КНР.</w:t>
      </w:r>
    </w:p>
    <w:p>
      <w:pPr>
        <w:spacing w:after="60"/>
        <w:ind w:firstLine="567"/>
        <w:jc w:val="both"/>
      </w:pPr>
      <w:r>
        <w:rPr>
          <w:rFonts w:ascii="Arial" w:cs="Arial" w:eastAsia="Arial" w:hAnsi="Arial"/>
          <w:sz w:val="24"/>
          <w:szCs w:val="24"/>
        </w:rPr>
        <w:t xml:space="preserve">В настоящее время одним из решающих факторов эффективности работы является профессиональный менеджмент деятельности таможенной службы и обеспечение качественным кадровым потенциалом.</w:t>
      </w:r>
    </w:p>
    <w:p>
      <w:pPr>
        <w:spacing w:after="60"/>
        <w:ind w:firstLine="567"/>
        <w:jc w:val="both"/>
      </w:pPr>
      <w:r>
        <w:rPr>
          <w:rFonts w:ascii="Arial" w:cs="Arial" w:eastAsia="Arial" w:hAnsi="Arial"/>
          <w:sz w:val="24"/>
          <w:szCs w:val="24"/>
        </w:rPr>
        <w:t xml:space="preserve">Для повышения кадрового потенциала таможенной службы потребуется:</w:t>
      </w:r>
    </w:p>
    <w:p>
      <w:pPr>
        <w:spacing w:after="60"/>
        <w:ind w:firstLine="567"/>
        <w:jc w:val="both"/>
      </w:pPr>
      <w:r>
        <w:rPr>
          <w:rFonts w:ascii="Arial" w:cs="Arial" w:eastAsia="Arial" w:hAnsi="Arial"/>
          <w:sz w:val="24"/>
          <w:szCs w:val="24"/>
        </w:rPr>
        <w:t xml:space="preserve">- внедрение системы конкурсного отбора по узконаправленным специальностям при приеме на службу в таможенные органы и совершенствование методов отбора кандидатов для включения во внешний резерв кадров таможенной службы, а также внедрение механизма формирования внутреннего резерва кадров;</w:t>
      </w:r>
    </w:p>
    <w:p>
      <w:pPr>
        <w:spacing w:after="60"/>
        <w:ind w:firstLine="567"/>
        <w:jc w:val="both"/>
      </w:pPr>
      <w:r>
        <w:rPr>
          <w:rFonts w:ascii="Arial" w:cs="Arial" w:eastAsia="Arial" w:hAnsi="Arial"/>
          <w:sz w:val="24"/>
          <w:szCs w:val="24"/>
        </w:rPr>
        <w:t xml:space="preserve">- совершенствование и автоматизация существующей системы оценки деятельности сотрудников и индикаторов оценки деятельности подразделений таможенной службы, механизма выдвижения и назначения из резерва на должности руководящего состава.</w:t>
      </w:r>
    </w:p>
    <w:p>
      <w:pPr>
        <w:spacing w:after="60"/>
        <w:ind w:firstLine="567"/>
        <w:jc w:val="both"/>
      </w:pPr>
      <w:r>
        <w:rPr>
          <w:rFonts w:ascii="Arial" w:cs="Arial" w:eastAsia="Arial" w:hAnsi="Arial"/>
          <w:sz w:val="24"/>
          <w:szCs w:val="24"/>
        </w:rPr>
        <w:t xml:space="preserve">В настоящее время важнейшим элементом процесса формирования и совершенствования кадрового потенциала таможенных органов является система профессиональной подготовки и переподготовки.</w:t>
      </w:r>
    </w:p>
    <w:p>
      <w:pPr>
        <w:spacing w:after="60"/>
        <w:ind w:firstLine="567"/>
        <w:jc w:val="both"/>
      </w:pPr>
      <w:r>
        <w:rPr>
          <w:rFonts w:ascii="Arial" w:cs="Arial" w:eastAsia="Arial" w:hAnsi="Arial"/>
          <w:sz w:val="24"/>
          <w:szCs w:val="24"/>
        </w:rPr>
        <w:t xml:space="preserve">В этом аспекте наиболее значимым является создание условий для повышения квалификации сотрудников, отвечающих текущим и перспективным направлениям развития системы таможенной службы в целом.</w:t>
      </w:r>
    </w:p>
    <w:p>
      <w:pPr>
        <w:spacing w:after="60"/>
        <w:ind w:firstLine="567"/>
        <w:jc w:val="both"/>
      </w:pPr>
      <w:r>
        <w:rPr>
          <w:rFonts w:ascii="Arial" w:cs="Arial" w:eastAsia="Arial" w:hAnsi="Arial"/>
          <w:sz w:val="24"/>
          <w:szCs w:val="24"/>
        </w:rPr>
        <w:t xml:space="preserve">Необходимо развивать существующую систему подготовки и переподготовки кадров, включая разработку учебных модулей по категориям должностей, расширения сотрудничества в области обучения с государственными органами Кыргызской Республики, странами ЕАЭС, международными организациями, в том числе запуск программ переподготовки сотрудников таможенной службы с изучением иностранных языков (Englishfriendly, Chinafriendly) и возможностью стажировки и профессиональной подготовки за рубежом, а также внедрять современную методику обучения с применением инновационных подходов обучения.</w:t>
      </w:r>
    </w:p>
    <w:p>
      <w:pPr>
        <w:spacing w:after="200" w:before="200"/>
        <w:jc w:val="center"/>
      </w:pPr>
      <w:r>
        <w:rPr>
          <w:rFonts w:ascii="Arial" w:cs="Arial" w:eastAsia="Arial" w:hAnsi="Arial"/>
          <w:b/>
          <w:bCs/>
          <w:sz w:val="24"/>
          <w:szCs w:val="24"/>
        </w:rPr>
        <w:t xml:space="preserve">§ 7. Социальный блок, стимулирование и мотивация</w:t>
      </w:r>
    </w:p>
    <w:p>
      <w:pPr>
        <w:spacing w:after="60"/>
        <w:ind w:firstLine="567"/>
        <w:jc w:val="both"/>
      </w:pPr>
      <w:r>
        <w:rPr>
          <w:rFonts w:ascii="Arial" w:cs="Arial" w:eastAsia="Arial" w:hAnsi="Arial"/>
          <w:sz w:val="24"/>
          <w:szCs w:val="24"/>
        </w:rPr>
        <w:t xml:space="preserve">В целях повышения мотивации и инициативности сотрудников таможенной службы при исполнении должностных обязанностей необходима система стимулирования деятельности сотрудников таможенной службы.</w:t>
      </w:r>
    </w:p>
    <w:p>
      <w:pPr>
        <w:spacing w:after="60"/>
        <w:ind w:firstLine="567"/>
        <w:jc w:val="both"/>
      </w:pPr>
      <w:r>
        <w:rPr>
          <w:rFonts w:ascii="Arial" w:cs="Arial" w:eastAsia="Arial" w:hAnsi="Arial"/>
          <w:sz w:val="24"/>
          <w:szCs w:val="24"/>
        </w:rPr>
        <w:t xml:space="preserve">В этой связи, в Плане мероприятий по реализации Стратегии предусмотрены мероприятия, направленные на увеличение выплат стимулирующего и компенсационного характера, улучшение социальных и жилищно-бытовых условий сотрудников и работников таможенной службы посредством строительства ведомственных жилых домов, дошкольных, образовательных и оздоровительных объектов.</w:t>
      </w:r>
    </w:p>
    <w:p>
      <w:pPr>
        <w:spacing w:after="60"/>
        <w:ind w:firstLine="567"/>
        <w:jc w:val="both"/>
      </w:pPr>
      <w:r>
        <w:rPr>
          <w:rFonts w:ascii="Arial" w:cs="Arial" w:eastAsia="Arial" w:hAnsi="Arial"/>
          <w:sz w:val="24"/>
          <w:szCs w:val="24"/>
        </w:rPr>
        <w:t xml:space="preserve">Реализация вышеуказанных мероприятий Стратегии позволит обеспечить социальную защищенность, создать условия для привлечения на службу в таможенные органы Кыргызской Республики высокопрофессиональных специалистов, а также сохранить кадровый потенциал таможенных органов.</w:t>
      </w:r>
    </w:p>
    <w:p>
      <w:pPr>
        <w:spacing w:after="200" w:before="200"/>
        <w:jc w:val="center"/>
      </w:pPr>
      <w:r>
        <w:rPr>
          <w:rFonts w:ascii="Arial" w:cs="Arial" w:eastAsia="Arial" w:hAnsi="Arial"/>
          <w:b/>
          <w:bCs/>
          <w:sz w:val="24"/>
          <w:szCs w:val="24"/>
        </w:rPr>
        <w:t xml:space="preserve">Глава 5. Ожидаемые результаты и индикаторы</w:t>
      </w:r>
    </w:p>
    <w:p>
      <w:pPr>
        <w:spacing w:after="60"/>
        <w:ind w:firstLine="567"/>
        <w:jc w:val="both"/>
      </w:pPr>
      <w:r>
        <w:rPr>
          <w:rFonts w:ascii="Arial" w:cs="Arial" w:eastAsia="Arial" w:hAnsi="Arial"/>
          <w:sz w:val="24"/>
          <w:szCs w:val="24"/>
        </w:rPr>
        <w:t xml:space="preserve">Достижение цели настоящей Стратегии обеспечит улучшение условий ведения бизнеса на основе упрощения процедур таможенного администрирования и возможностей реализации таможенных процессов на электронной основе, без прямого контакта с должностным лицом таможенных органов, что обеспечит сокращение временных и, соответственно, материальных затрат субъектов ВЭД.</w:t>
      </w:r>
    </w:p>
    <w:p>
      <w:pPr>
        <w:spacing w:after="60"/>
        <w:ind w:firstLine="567"/>
        <w:jc w:val="both"/>
      </w:pPr>
      <w:r>
        <w:rPr>
          <w:rFonts w:ascii="Arial" w:cs="Arial" w:eastAsia="Arial" w:hAnsi="Arial"/>
          <w:sz w:val="24"/>
          <w:szCs w:val="24"/>
        </w:rPr>
        <w:t xml:space="preserve">Таким образом, мероприятия по реализации Стратегии направлены на клиентоориентированность таможенной службы с одновременным повышением уровня добросовестности участников ВЭД, основанного на добровольном соблюдении таможенных правил. Необходимо создание таких условий ведения внешней торговли, при которых нарушение таможенного законодательства станет невыгодным для субъектов предпринимательской деятельности. Величина финансовых и репутационных потерь при совершении таможенных правонарушений должна стимулировать участника ВЭД к добросовестному ведению бизнеса.</w:t>
      </w:r>
    </w:p>
    <w:p>
      <w:pPr>
        <w:spacing w:after="60"/>
        <w:ind w:firstLine="567"/>
        <w:jc w:val="both"/>
      </w:pPr>
      <w:r>
        <w:rPr>
          <w:rFonts w:ascii="Arial" w:cs="Arial" w:eastAsia="Arial" w:hAnsi="Arial"/>
          <w:sz w:val="24"/>
          <w:szCs w:val="24"/>
        </w:rPr>
        <w:t xml:space="preserve">План реализации Стратегии обеспечит автоматизацию бизнес-процессов при таможенном администрировании, при межведомственном взаимодействии государственных органов, участвующих в процессе таможенной очистки, тем самым обеспечивая взаимодействие таможенных и государственных органов с бизнесом преимущественно в электронном виде, что в свою очередь, сократит временные и финансовые издержки для участников ВЭД и повысит эффективность таможенного контроля.</w:t>
      </w:r>
    </w:p>
    <w:p>
      <w:pPr>
        <w:spacing w:after="60"/>
        <w:ind w:firstLine="567"/>
        <w:jc w:val="both"/>
      </w:pPr>
      <w:r>
        <w:rPr>
          <w:rFonts w:ascii="Arial" w:cs="Arial" w:eastAsia="Arial" w:hAnsi="Arial"/>
          <w:sz w:val="24"/>
          <w:szCs w:val="24"/>
        </w:rPr>
        <w:t xml:space="preserve">Совершенствование процессов таможенного администрирования повысит конкурентоспособность участников ВЭД на международном рынке и инвестиционную привлекательность государства, а также будет способствовать развитию транспортной инфраструктуры в целом.</w:t>
      </w:r>
    </w:p>
    <w:p>
      <w:pPr>
        <w:spacing w:after="60"/>
        <w:ind w:firstLine="567"/>
        <w:jc w:val="both"/>
      </w:pPr>
      <w:r>
        <w:rPr>
          <w:rFonts w:ascii="Arial" w:cs="Arial" w:eastAsia="Arial" w:hAnsi="Arial"/>
          <w:sz w:val="24"/>
          <w:szCs w:val="24"/>
        </w:rPr>
        <w:t xml:space="preserve">По мере реализации настоящей Стратегии предполагается достижение следующих результатов (индикаторов):</w:t>
      </w:r>
    </w:p>
    <w:p>
      <w:pPr>
        <w:spacing w:after="60"/>
        <w:ind w:firstLine="567"/>
        <w:jc w:val="both"/>
      </w:pPr>
      <w:r>
        <w:rPr>
          <w:rFonts w:ascii="Arial" w:cs="Arial" w:eastAsia="Arial" w:hAnsi="Arial"/>
          <w:sz w:val="24"/>
          <w:szCs w:val="24"/>
        </w:rPr>
        <w:t xml:space="preserve">- сокращение предельного времени прохождения таможенных операций при помещении товаров под таможенную процедуру экспорта для товаров, которые не идентифицированы как рисковые поставки, требующие дополнительной проверки (до 1 часа - к 2023 году);</w:t>
      </w:r>
    </w:p>
    <w:p>
      <w:pPr>
        <w:spacing w:after="60"/>
        <w:ind w:firstLine="567"/>
        <w:jc w:val="both"/>
      </w:pPr>
      <w:r>
        <w:rPr>
          <w:rFonts w:ascii="Arial" w:cs="Arial" w:eastAsia="Arial" w:hAnsi="Arial"/>
          <w:sz w:val="24"/>
          <w:szCs w:val="24"/>
        </w:rPr>
        <w:t xml:space="preserve">- сокращение предельного времени прохождения таможенных операций при помещении товаров под таможенную процедуру выпуска для внутреннего потребления в отношении товаров, которые не подлежат дополнительным видам государственного контроля и не идентифицированы как рисковые поставки, требующие дополнительной проверки (до 2 часов - к 2023 году);</w:t>
      </w:r>
    </w:p>
    <w:p>
      <w:pPr>
        <w:spacing w:after="60"/>
        <w:ind w:firstLine="567"/>
        <w:jc w:val="both"/>
      </w:pPr>
      <w:r>
        <w:rPr>
          <w:rFonts w:ascii="Arial" w:cs="Arial" w:eastAsia="Arial" w:hAnsi="Arial"/>
          <w:sz w:val="24"/>
          <w:szCs w:val="24"/>
        </w:rPr>
        <w:t xml:space="preserve">- увеличение доли деклараций на товары, оформленных в электронном виде, без представления документов и сведений на бумажных носителях, в общем количестве оформленных деклараций на товары, при условии, что товары (транспортные средства) не идентифицированы как рисковые поставки, требующие дополнительной проверки документов на бумажных носителях (до 100% - к 2023 году);</w:t>
      </w:r>
    </w:p>
    <w:p>
      <w:pPr>
        <w:spacing w:after="60"/>
        <w:ind w:firstLine="567"/>
        <w:jc w:val="both"/>
      </w:pPr>
      <w:r>
        <w:rPr>
          <w:rFonts w:ascii="Arial" w:cs="Arial" w:eastAsia="Arial" w:hAnsi="Arial"/>
          <w:sz w:val="24"/>
          <w:szCs w:val="24"/>
        </w:rPr>
        <w:t xml:space="preserve">- уменьшение количества документов, требуемых для таможенных целей, при перемещении товаров через внешние границы ЕАЭС на кыргызском участке (до 4 документов - к 2023 году);</w:t>
      </w:r>
    </w:p>
    <w:p>
      <w:pPr>
        <w:spacing w:after="60"/>
        <w:ind w:firstLine="567"/>
        <w:jc w:val="both"/>
      </w:pPr>
      <w:r>
        <w:rPr>
          <w:rFonts w:ascii="Arial" w:cs="Arial" w:eastAsia="Arial" w:hAnsi="Arial"/>
          <w:sz w:val="24"/>
          <w:szCs w:val="24"/>
        </w:rPr>
        <w:t xml:space="preserve">- увеличение доли таможенных проверок, направленных на профилактику правонарушений в таможенной сфере, проводимых на основании результатов применения системы управления рисками и категорирования участников внешнеэкономической деятельности, в общем количестве таможенных проверок (до 70% - к 2023 году);</w:t>
      </w:r>
    </w:p>
    <w:p>
      <w:pPr>
        <w:spacing w:after="60"/>
        <w:ind w:firstLine="567"/>
        <w:jc w:val="both"/>
      </w:pPr>
      <w:r>
        <w:rPr>
          <w:rFonts w:ascii="Arial" w:cs="Arial" w:eastAsia="Arial" w:hAnsi="Arial"/>
          <w:sz w:val="24"/>
          <w:szCs w:val="24"/>
        </w:rPr>
        <w:t xml:space="preserve">- создание таможенной лаборатории;</w:t>
      </w:r>
    </w:p>
    <w:p>
      <w:pPr>
        <w:spacing w:after="60"/>
        <w:ind w:firstLine="567"/>
        <w:jc w:val="both"/>
      </w:pPr>
      <w:r>
        <w:rPr>
          <w:rFonts w:ascii="Arial" w:cs="Arial" w:eastAsia="Arial" w:hAnsi="Arial"/>
          <w:sz w:val="24"/>
          <w:szCs w:val="24"/>
        </w:rPr>
        <w:t xml:space="preserve">- развитие таможенной инфраструктуры в соответствии с международными требованиями.</w:t>
      </w:r>
    </w:p>
    <w:p>
      <w:pPr>
        <w:spacing w:after="60"/>
        <w:ind w:firstLine="567"/>
        <w:jc w:val="both"/>
      </w:pPr>
      <w:r>
        <w:rPr>
          <w:rFonts w:ascii="Arial" w:cs="Arial" w:eastAsia="Arial" w:hAnsi="Arial"/>
          <w:sz w:val="24"/>
          <w:szCs w:val="24"/>
        </w:rPr>
        <w:t xml:space="preserve">Некоторые из этих результатов, такие, как сокращение расходов для участников ВЭД путем ускорения таможенной очистки, можно измерить, в то время как другие результаты, такие как экономическое воздействие сокращения коррупции, повышение международной конкурентоспособности, большая прозрачность и более высокий уровень национальной безопасности, трудно поддаются количественному измерению.</w:t>
      </w:r>
    </w:p>
    <w:p>
      <w:pPr>
        <w:spacing w:after="60"/>
        <w:ind w:firstLine="567"/>
        <w:jc w:val="both"/>
      </w:pPr>
      <w:r>
        <w:rPr>
          <w:rFonts w:ascii="Arial" w:cs="Arial" w:eastAsia="Arial" w:hAnsi="Arial"/>
          <w:sz w:val="24"/>
          <w:szCs w:val="24"/>
        </w:rPr>
        <w:t xml:space="preserve">Ожидается, что сокращение времени таможенной очистки до 2-х часов будет само по себе в высшей степени полезным с экономической точки зрения.</w:t>
      </w:r>
    </w:p>
    <w:p>
      <w:pPr>
        <w:spacing w:after="200" w:before="200"/>
        <w:jc w:val="center"/>
      </w:pPr>
      <w:r>
        <w:rPr>
          <w:rFonts w:ascii="Arial" w:cs="Arial" w:eastAsia="Arial" w:hAnsi="Arial"/>
          <w:b/>
          <w:bCs/>
          <w:sz w:val="24"/>
          <w:szCs w:val="24"/>
        </w:rPr>
        <w:t xml:space="preserve">Глава 6. Финансовые ресурсы и источники</w:t>
      </w:r>
    </w:p>
    <w:p>
      <w:pPr>
        <w:spacing w:after="60"/>
        <w:ind w:firstLine="567"/>
        <w:jc w:val="both"/>
      </w:pPr>
      <w:r>
        <w:rPr>
          <w:rFonts w:ascii="Arial" w:cs="Arial" w:eastAsia="Arial" w:hAnsi="Arial"/>
          <w:sz w:val="24"/>
          <w:szCs w:val="24"/>
        </w:rPr>
        <w:t xml:space="preserve">Финансирование реализации настоящей Стратегии планируется осуществлять за счет средств, выделяемых республиканским бюджетом, в том числе средств Фонда развития таможенной службы Государственной таможенной службы при Правительстве Кыргызской Республики, средств, привлекаемых на грантовой основе, а также средств, предусмотренных </w:t>
      </w:r>
      <w:r>
        <w:rPr>
          <w:rFonts w:ascii="Arial" w:cs="Arial" w:eastAsia="Arial" w:hAnsi="Arial"/>
          <w:sz w:val="24"/>
          <w:szCs w:val="24"/>
        </w:rPr>
        <w:t xml:space="preserve">Соглашением</w:t>
      </w:r>
      <w:r>
        <w:rPr>
          <w:rFonts w:ascii="Arial" w:cs="Arial" w:eastAsia="Arial" w:hAnsi="Arial"/>
          <w:sz w:val="24"/>
          <w:szCs w:val="24"/>
        </w:rPr>
        <w:t xml:space="preserve">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ЕАЭС от 31 марта 2015 (ратифицировано </w:t>
      </w:r>
      <w:hyperlink w:history="1" r:id="rIduym9xzzse1g2bvah3ceo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18 мая 2015 года № 102).</w:t>
      </w:r>
    </w:p>
    <w:p>
      <w:pPr>
        <w:spacing w:after="200" w:before="200"/>
        <w:jc w:val="center"/>
      </w:pPr>
      <w:r>
        <w:rPr>
          <w:rFonts w:ascii="Arial" w:cs="Arial" w:eastAsia="Arial" w:hAnsi="Arial"/>
          <w:b/>
          <w:bCs/>
          <w:sz w:val="24"/>
          <w:szCs w:val="24"/>
        </w:rPr>
        <w:t xml:space="preserve">Глава 7. Возможные риски при реализации Стратегии</w:t>
      </w:r>
    </w:p>
    <w:p>
      <w:pPr>
        <w:spacing w:after="60"/>
        <w:ind w:firstLine="567"/>
        <w:jc w:val="both"/>
      </w:pPr>
      <w:r>
        <w:rPr>
          <w:rFonts w:ascii="Arial" w:cs="Arial" w:eastAsia="Arial" w:hAnsi="Arial"/>
          <w:sz w:val="24"/>
          <w:szCs w:val="24"/>
        </w:rPr>
        <w:t xml:space="preserve">При реализации Стратегии существуют следующие возможные риски:</w:t>
      </w:r>
    </w:p>
    <w:p>
      <w:pPr>
        <w:spacing w:after="60"/>
        <w:ind w:firstLine="567"/>
        <w:jc w:val="both"/>
      </w:pPr>
      <w:r>
        <w:rPr>
          <w:rFonts w:ascii="Arial" w:cs="Arial" w:eastAsia="Arial" w:hAnsi="Arial"/>
          <w:sz w:val="24"/>
          <w:szCs w:val="24"/>
        </w:rPr>
        <w:t xml:space="preserve">- ненадлежащее и несвоевременное финансирование мероприятий, предусмотренных Стратегией;</w:t>
      </w:r>
    </w:p>
    <w:p>
      <w:pPr>
        <w:spacing w:after="60"/>
        <w:ind w:firstLine="567"/>
        <w:jc w:val="both"/>
      </w:pPr>
      <w:r>
        <w:rPr>
          <w:rFonts w:ascii="Arial" w:cs="Arial" w:eastAsia="Arial" w:hAnsi="Arial"/>
          <w:sz w:val="24"/>
          <w:szCs w:val="24"/>
        </w:rPr>
        <w:t xml:space="preserve">- макроэкономические риски, связанные с возможностью снижения темпов роста показателей внешнеэкономической деятельности;</w:t>
      </w:r>
    </w:p>
    <w:p>
      <w:pPr>
        <w:spacing w:after="60"/>
        <w:ind w:firstLine="567"/>
        <w:jc w:val="both"/>
      </w:pPr>
      <w:r>
        <w:rPr>
          <w:rFonts w:ascii="Arial" w:cs="Arial" w:eastAsia="Arial" w:hAnsi="Arial"/>
          <w:sz w:val="24"/>
          <w:szCs w:val="24"/>
        </w:rPr>
        <w:t xml:space="preserve">- состояние и перспективы развития политических и экономических отношений между странами и их отдельными регионами. К примеру, вступление Республики Узбекистан и Республики Таджикистан в Евразийский экономический союз и перемещение таможенной границы Союза на внешний периметр этих стран. В этом случае у Кыргызской Республики остается только таможенная граница с КНР, что прямо повлияет на финансовые показатели, а также на возможное сокращение численности сотрудников таможенной службы;</w:t>
      </w:r>
    </w:p>
    <w:p>
      <w:pPr>
        <w:spacing w:after="60"/>
        <w:ind w:firstLine="567"/>
        <w:jc w:val="both"/>
      </w:pPr>
      <w:r>
        <w:rPr>
          <w:rFonts w:ascii="Arial" w:cs="Arial" w:eastAsia="Arial" w:hAnsi="Arial"/>
          <w:sz w:val="24"/>
          <w:szCs w:val="24"/>
        </w:rPr>
        <w:t xml:space="preserve">- возложение дополнительных функций и задач не сопровождаются соответствующим расширением кадрового состава и выделением дополнительных материальных ресурсов;</w:t>
      </w:r>
    </w:p>
    <w:p>
      <w:pPr>
        <w:spacing w:after="60"/>
        <w:ind w:firstLine="567"/>
        <w:jc w:val="both"/>
      </w:pPr>
      <w:r>
        <w:rPr>
          <w:rFonts w:ascii="Arial" w:cs="Arial" w:eastAsia="Arial" w:hAnsi="Arial"/>
          <w:sz w:val="24"/>
          <w:szCs w:val="24"/>
        </w:rPr>
        <w:t xml:space="preserve">- успешность реализации Стратегии также тесно связана с уровнем развития транспортно-логистической, банковской и социальной инфраструктуры;</w:t>
      </w:r>
    </w:p>
    <w:p>
      <w:pPr>
        <w:spacing w:after="60"/>
        <w:ind w:firstLine="567"/>
        <w:jc w:val="both"/>
      </w:pPr>
      <w:r>
        <w:rPr>
          <w:rFonts w:ascii="Arial" w:cs="Arial" w:eastAsia="Arial" w:hAnsi="Arial"/>
          <w:sz w:val="24"/>
          <w:szCs w:val="24"/>
        </w:rPr>
        <w:t xml:space="preserve">- увеличение продолжительности исполнения мероприятий по автоматизации задач, в зависимости от результатов проведения тендерных конкурсов и определения поставщиков услуг;</w:t>
      </w:r>
    </w:p>
    <w:p>
      <w:pPr>
        <w:spacing w:after="60"/>
        <w:ind w:firstLine="567"/>
        <w:jc w:val="both"/>
      </w:pPr>
      <w:r>
        <w:rPr>
          <w:rFonts w:ascii="Arial" w:cs="Arial" w:eastAsia="Arial" w:hAnsi="Arial"/>
          <w:sz w:val="24"/>
          <w:szCs w:val="24"/>
        </w:rPr>
        <w:t xml:space="preserve">- уровень развития нормативной правовой базы в сфере цифровизации и применения информационных технологий;</w:t>
      </w:r>
    </w:p>
    <w:p>
      <w:pPr>
        <w:spacing w:after="60"/>
        <w:ind w:firstLine="567"/>
        <w:jc w:val="both"/>
      </w:pPr>
      <w:r>
        <w:rPr>
          <w:rFonts w:ascii="Arial" w:cs="Arial" w:eastAsia="Arial" w:hAnsi="Arial"/>
          <w:sz w:val="24"/>
          <w:szCs w:val="24"/>
        </w:rPr>
        <w:t xml:space="preserve">- уровень развития информационных систем других государственных органов;</w:t>
      </w:r>
    </w:p>
    <w:p>
      <w:pPr>
        <w:spacing w:after="60"/>
        <w:ind w:firstLine="567"/>
        <w:jc w:val="both"/>
      </w:pPr>
      <w:r>
        <w:rPr>
          <w:rFonts w:ascii="Arial" w:cs="Arial" w:eastAsia="Arial" w:hAnsi="Arial"/>
          <w:sz w:val="24"/>
          <w:szCs w:val="24"/>
        </w:rPr>
        <w:t xml:space="preserve">- риски изменений задач по автоматизации таможенных процессов в соответствии с законодательствами ЕАЭС и иными международными договорами.</w:t>
      </w:r>
    </w:p>
    <w:p>
      <w:pPr>
        <w:spacing w:after="200" w:before="200"/>
        <w:jc w:val="center"/>
      </w:pPr>
      <w:r>
        <w:rPr>
          <w:rFonts w:ascii="Arial" w:cs="Arial" w:eastAsia="Arial" w:hAnsi="Arial"/>
          <w:b/>
          <w:bCs/>
          <w:sz w:val="24"/>
          <w:szCs w:val="24"/>
        </w:rPr>
        <w:t xml:space="preserve">Глава 8. Мониторинг и оценка</w:t>
      </w:r>
    </w:p>
    <w:p>
      <w:pPr>
        <w:spacing w:after="60"/>
        <w:ind w:firstLine="567"/>
        <w:jc w:val="both"/>
      </w:pPr>
      <w:r>
        <w:rPr>
          <w:rFonts w:ascii="Arial" w:cs="Arial" w:eastAsia="Arial" w:hAnsi="Arial"/>
          <w:sz w:val="24"/>
          <w:szCs w:val="24"/>
        </w:rPr>
        <w:t xml:space="preserve">Регулярный мониторинг и оценка выполнения мероприятий настоящей Стратегии станет эффективным инструментом отслеживания процесса ее реализации, который позволит:</w:t>
      </w:r>
    </w:p>
    <w:p>
      <w:pPr>
        <w:spacing w:after="60"/>
        <w:ind w:firstLine="567"/>
        <w:jc w:val="both"/>
      </w:pPr>
      <w:r>
        <w:rPr>
          <w:rFonts w:ascii="Arial" w:cs="Arial" w:eastAsia="Arial" w:hAnsi="Arial"/>
          <w:sz w:val="24"/>
          <w:szCs w:val="24"/>
        </w:rPr>
        <w:t xml:space="preserve">- принимать своевременные решения по внесению корректив в План реализации Стратегии;</w:t>
      </w:r>
    </w:p>
    <w:p>
      <w:pPr>
        <w:spacing w:after="60"/>
        <w:ind w:firstLine="567"/>
        <w:jc w:val="both"/>
      </w:pPr>
      <w:r>
        <w:rPr>
          <w:rFonts w:ascii="Arial" w:cs="Arial" w:eastAsia="Arial" w:hAnsi="Arial"/>
          <w:sz w:val="24"/>
          <w:szCs w:val="24"/>
        </w:rPr>
        <w:t xml:space="preserve">- оценить промежуточные и итоговые результаты этапов реализации настоящей Стратегии.</w:t>
      </w:r>
    </w:p>
    <w:p>
      <w:pPr>
        <w:spacing w:after="60"/>
        <w:ind w:firstLine="567"/>
        <w:jc w:val="both"/>
      </w:pPr>
      <w:r>
        <w:rPr>
          <w:rFonts w:ascii="Arial" w:cs="Arial" w:eastAsia="Arial" w:hAnsi="Arial"/>
          <w:sz w:val="24"/>
          <w:szCs w:val="24"/>
        </w:rPr>
        <w:t xml:space="preserve">К реализации данной Стратегии будут подключены также и заинтересованные государственные органы Кыргызской Республики.</w:t>
      </w:r>
    </w:p>
    <w:p>
      <w:pPr>
        <w:spacing w:after="60"/>
        <w:ind w:firstLine="567"/>
        <w:jc w:val="both"/>
      </w:pPr>
      <w:r>
        <w:rPr>
          <w:rFonts w:ascii="Arial" w:cs="Arial" w:eastAsia="Arial" w:hAnsi="Arial"/>
          <w:sz w:val="24"/>
          <w:szCs w:val="24"/>
        </w:rPr>
        <w:t xml:space="preserve">Мониторинг и оценка реализации настоящей Стратегии будет осуществляться также и Общественным советом Государственной таможенной службы при Правительстве Кыргызской Республики.</w:t>
      </w:r>
    </w:p>
    <w:p>
      <w:pPr>
        <w:spacing w:after="60"/>
        <w:ind w:firstLine="567"/>
        <w:jc w:val="both"/>
      </w:pPr>
      <w:r>
        <w:rPr>
          <w:rFonts w:ascii="Arial" w:cs="Arial" w:eastAsia="Arial" w:hAnsi="Arial"/>
          <w:sz w:val="24"/>
          <w:szCs w:val="24"/>
        </w:rPr>
        <w:t xml:space="preserve">В результате скоординированных усилий таможенной службы, государственных органов и бизнес-сообщества будут созданы условия для экономической активности субъектов предпринимательства, базирующиеся на современных таможенных технологиях и качественно выполняемых государственных функциях и услугах.</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pvgpc136k7mjesj7ize">
      <w:r>
        <w:rPr>
          <w:rFonts w:ascii="Arial" w:cs="Arial" w:eastAsia="Arial" w:hAnsi="Arial"/>
          <w:color w:val="132D3F"/>
          <w:sz w:val="16"/>
          <w:szCs w:val="16"/>
          <w:u w:val="single"/>
        </w:rPr>
        <w:t xml:space="preserve">dalil.kg/document/157006</w:t>
      </w:r>
    </w:hyperlink>
  </w:p>
  <w:p>
    <w:pPr>
      <w:spacing w:after="0" w:before="40"/>
      <w:jc w:val="center"/>
    </w:pPr>
    <w:hyperlink w:history="1" r:id="rIdjkytckwmftksk1tellq6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tefo2uisetf17kh0xy9" Type="http://schemas.openxmlformats.org/officeDocument/2006/relationships/hyperlink" Target="https://dalil.kg/document/159121" TargetMode="External"/><Relationship Id="rIdoq_gq_kisfhbjy4dvmrlg" Type="http://schemas.openxmlformats.org/officeDocument/2006/relationships/hyperlink" Target="https://dalil.kg/document/157005" TargetMode="External"/><Relationship Id="rIdeu6apeh_ti8z9br2khp2t" Type="http://schemas.openxmlformats.org/officeDocument/2006/relationships/hyperlink" Target="https://dalil.kg/document/111732" TargetMode="External"/><Relationship Id="rIdzhdsk0hx26g5rmi2g5qil" Type="http://schemas.openxmlformats.org/officeDocument/2006/relationships/hyperlink" Target="https://dalil.kg/document/96294" TargetMode="External"/><Relationship Id="rIdwzujvhnjuv7e8gp-iyiuh" Type="http://schemas.openxmlformats.org/officeDocument/2006/relationships/hyperlink" Target="https://dalil.kg/document/96293" TargetMode="External"/><Relationship Id="rIdnqho_1tarqh0w_qxmyuoc" Type="http://schemas.openxmlformats.org/officeDocument/2006/relationships/hyperlink" Target="https://dalil.kg/document/96294" TargetMode="External"/><Relationship Id="rIdqvg5r4ip5tmwjajkseyiv" Type="http://schemas.openxmlformats.org/officeDocument/2006/relationships/hyperlink" Target="https://dalil.kg/document/96293" TargetMode="External"/><Relationship Id="rId9ik7rjiy1pgippd2pnbdn" Type="http://schemas.openxmlformats.org/officeDocument/2006/relationships/hyperlink" Target="https://dalil.kg/document/111462" TargetMode="External"/><Relationship Id="rIduym9xzzse1g2bvah3ceoa" Type="http://schemas.openxmlformats.org/officeDocument/2006/relationships/hyperlink" Target="https://dalil.kg/document/11114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pvgpc136k7mjesj7ize" Type="http://schemas.openxmlformats.org/officeDocument/2006/relationships/hyperlink" Target="https://dalil.kg/document/157006" TargetMode="External"/><Relationship Id="rIdjkytckwmftksk1tellq6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2026-09-27T05:34:43.271Z</dcterms:created>
  <dcterms:modified xsi:type="dcterms:W3CDTF">2026-09-27T05:34:43.271Z</dcterms:modified>
</cp:coreProperties>
</file>

<file path=docProps/custom.xml><?xml version="1.0" encoding="utf-8"?>
<Properties xmlns="http://schemas.openxmlformats.org/officeDocument/2006/custom-properties" xmlns:vt="http://schemas.openxmlformats.org/officeDocument/2006/docPropsVTypes"/>
</file>