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сентября 2019 года № 449</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spacing w:after="60"/>
        <w:ind w:firstLine="567"/>
        <w:jc w:val="both"/>
      </w:pPr>
      <w:r>
        <w:rPr>
          <w:rFonts w:ascii="Arial" w:cs="Arial" w:eastAsia="Arial" w:hAnsi="Arial"/>
          <w:sz w:val="24"/>
          <w:szCs w:val="24"/>
        </w:rPr>
        <w:t xml:space="preserve">В целях исключения пробелов в законодательстве Кыргызской Республики в сфере внешней миграции,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icefacafrmv1b5sjanej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f79gwwp5utdovv_6qg6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 следующие изменения:</w:t>
      </w:r>
    </w:p>
    <w:p>
      <w:pPr>
        <w:spacing w:after="60"/>
        <w:ind w:firstLine="567"/>
        <w:jc w:val="both"/>
      </w:pPr>
      <w:r>
        <w:rPr>
          <w:rFonts w:ascii="Arial" w:cs="Arial" w:eastAsia="Arial" w:hAnsi="Arial"/>
          <w:sz w:val="24"/>
          <w:szCs w:val="24"/>
        </w:rPr>
        <w:t xml:space="preserve">- </w:t>
      </w:r>
      <w:hyperlink w:history="1" r:id="rIdcw4hsg5j4_dtnjz-zbt-w">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а также в гостиницах, утвержденный вышеуказанным </w:t>
      </w:r>
      <w:hyperlink w:history="1" r:id="rIdqyhxqbndxafz4urk1gn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изложить в редакции согласно </w:t>
      </w:r>
      <w:hyperlink w:history="1" r:id="rIdeh9gu5n3oanwryrlphsi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hyperlink w:history="1" r:id="rIdjy5hnbi4bu7wppqfraoc6">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регистрации иностранных граждан и лиц без гражданства на территории Кыргызской Республики, утвержденный вышеуказанным </w:t>
      </w:r>
      <w:hyperlink w:history="1" r:id="rIdsvwyjtk36sj8i_-nlvp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внести изменения согласно </w:t>
      </w:r>
      <w:hyperlink w:history="1" r:id="rIdu6okmlsqm-l2ayknxksw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k9fvs3sfsp6ad7nf9mutf">
        <w:r>
          <w:rPr>
            <w:rFonts w:ascii="Arial" w:cs="Arial" w:eastAsia="Arial" w:hAnsi="Arial"/>
            <w:color w:val="1D4ED8"/>
            <w:sz w:val="24"/>
            <w:szCs w:val="24"/>
            <w:u w:val="single"/>
          </w:rPr>
          <w:t xml:space="preserve">Приложение 1</w:t>
        </w:r>
      </w:hyperlink>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а также в гостиницах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937"/>
        <w:gridCol w:w="493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иностранного государства</w:t>
            </w:r>
          </w:p>
        </w:tc>
        <w:tc>
          <w:tcPr>
            <w:tcW w:type="dxa" w:w="4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в течение которого необходимо осуществить регистрацию в уполномоченном государственном органе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Австрийская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Албания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Княжество Андорра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Аргентинская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Содружество Багамских Островов</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Барбадос</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Бахрейн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Бельгия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Болгария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Босния и Герцеговина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Федеративная Республика Бразилия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Государство Бруней-Даруссалам</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Ватикан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Соединенное Королевство Великобритании и Северной Ирландии</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Венгрия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Социалистическая Республика Вьетнам</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Федеративная Республика Германия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Греческая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Дания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календарный день(*)</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Государство Израиль</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Индонезия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Исламская Республика Иран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Ирландия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Исландия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Испания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Итальянская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Канада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Государство Катар</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Кипр (западный)</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Коста-Рика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Куба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Государство Кувейт</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Лаосская Народно-Демократическая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Латвийская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Литовская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Княжество Лихтенштейн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Великое Герцогство Люксембург</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Македония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Малайзия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Мальта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Мексиканские Соединенные Штаты</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Княжество Монако</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Нидерландов</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Никарагуа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Зеландия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Норвегия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Арабские Эмираты</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Султанат Оман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Перу</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Польша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Португальская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Румыния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Эль-Сальвадор</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Сан-Марино</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Саудовская Аравия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Сербия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Сингапур</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Словацкая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Словения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Соединенные Штаты Америки</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Таиланд</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Туркменистан</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Филиппины</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Финляндская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Хорватия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Черногория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Чешская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Чили</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Швейцарская Конфедерация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Швеция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Демократическая Социалистическая Республика Шри-Ланка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Эквадор</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Эстонская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Южно-Африканская Республика</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календарных дней</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Индия</w:t>
            </w:r>
          </w:p>
        </w:tc>
        <w:tc>
          <w:tcPr>
            <w:tcW w:type="dxa" w:w="4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календарных дней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По отношению к гражданам иностранного государства Кыргызской Республикой применен принцип взаимности, с учетом наличия вступивших в установленном законом порядке в силу международных договоров, участницей которых является Кыргызская Республика, а также сроков осуществления процедуры регистрации, применяемых данным иностранным государством по отношению к гражданам Кыргызской Республики, во время их постоянного или временного пребывания на территории данного иностранного государства.".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ИЗМЕНЕНИЯ</w:t>
      </w:r>
      <w:r>
        <w:rPr>
          <w:rFonts w:ascii="Arial" w:cs="Arial" w:eastAsia="Arial" w:hAnsi="Arial"/>
          <w:b/>
          <w:bCs/>
          <w:sz w:val="32"/>
          <w:szCs w:val="32"/>
        </w:rPr>
        <w:t xml:space="preserve">
 в Порядок регистрации иностранных граждан и лиц без гражданства на территории Кыргызской Республики, утвержденный постановлением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spacing w:after="60"/>
        <w:ind w:firstLine="567"/>
        <w:jc w:val="both"/>
      </w:pPr>
      <w:r>
        <w:rPr>
          <w:rFonts w:ascii="Arial" w:cs="Arial" w:eastAsia="Arial" w:hAnsi="Arial"/>
          <w:sz w:val="24"/>
          <w:szCs w:val="24"/>
        </w:rPr>
        <w:t xml:space="preserve">В </w:t>
      </w:r>
      <w:hyperlink w:history="1" r:id="rIdvvbkxqa92pbzmi9j2u9c9">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регистрации иностранных граждан и лиц без гражданства на территории Кыргызской Республики, утвержденном вышеуказанным </w:t>
      </w:r>
      <w:hyperlink w:history="1" r:id="rIdkcsk6grzos44e-4nx2t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Регистрация иностранных граждан и лиц без гражданства осуществляется в любых территориальных подразделениях уполномоченного государственного органа в сфере регистрации населения вне зависимости от места пребывания, посредством автоматизированной информационной системы, а также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Регистрация иностранных граждан и лиц без гражданства осуществляется не позднее последнего дня, позволяющего находиться на территории Кыргызской Республики без регистрации. Продление регистрации иностранных граждан и лиц без гражданства осуществляется не позднее последнего дня до истечения срока регистрации.</w:t>
      </w:r>
    </w:p>
    <w:p>
      <w:pPr>
        <w:spacing w:after="60"/>
        <w:ind w:firstLine="567"/>
        <w:jc w:val="both"/>
      </w:pPr>
      <w:r>
        <w:rPr>
          <w:rFonts w:ascii="Arial" w:cs="Arial" w:eastAsia="Arial" w:hAnsi="Arial"/>
          <w:sz w:val="24"/>
          <w:szCs w:val="24"/>
        </w:rPr>
        <w:t xml:space="preserve">В случае продления регистрации, выдается новый регистрационный талон.";</w:t>
      </w:r>
    </w:p>
    <w:p>
      <w:pPr>
        <w:spacing w:after="60"/>
        <w:ind w:firstLine="567"/>
        <w:jc w:val="both"/>
      </w:pPr>
      <w:r>
        <w:rPr>
          <w:rFonts w:ascii="Arial" w:cs="Arial" w:eastAsia="Arial" w:hAnsi="Arial"/>
          <w:sz w:val="24"/>
          <w:szCs w:val="24"/>
        </w:rPr>
        <w:t xml:space="preserve">- в пункте 9 слова "пяти рабочих дней" заменить словами "одного рабочего дня";</w:t>
      </w:r>
    </w:p>
    <w:p>
      <w:pPr>
        <w:spacing w:after="60"/>
        <w:ind w:firstLine="567"/>
        <w:jc w:val="both"/>
      </w:pPr>
      <w:r>
        <w:rPr>
          <w:rFonts w:ascii="Arial" w:cs="Arial" w:eastAsia="Arial" w:hAnsi="Arial"/>
          <w:sz w:val="24"/>
          <w:szCs w:val="24"/>
        </w:rPr>
        <w:t xml:space="preserve">- пункт 11 дополнить абзацем вторым следующего содержания:</w:t>
      </w:r>
    </w:p>
    <w:p>
      <w:pPr>
        <w:spacing w:after="60"/>
        <w:ind w:firstLine="567"/>
        <w:jc w:val="both"/>
      </w:pPr>
      <w:r>
        <w:rPr>
          <w:rFonts w:ascii="Arial" w:cs="Arial" w:eastAsia="Arial" w:hAnsi="Arial"/>
          <w:sz w:val="24"/>
          <w:szCs w:val="24"/>
        </w:rPr>
        <w:t xml:space="preserve">"Регистрация несовершеннолетних детей иностранных граждан и лиц без гражданства может осуществляться по ходатайству уполномоченных лиц по доверенности, с предоставлением документов, удостоверяющих личность несовершеннолетних детей.";</w:t>
      </w:r>
    </w:p>
    <w:p>
      <w:pPr>
        <w:spacing w:after="60"/>
        <w:ind w:firstLine="567"/>
        <w:jc w:val="both"/>
      </w:pPr>
      <w:r>
        <w:rPr>
          <w:rFonts w:ascii="Arial" w:cs="Arial" w:eastAsia="Arial" w:hAnsi="Arial"/>
          <w:sz w:val="24"/>
          <w:szCs w:val="24"/>
        </w:rPr>
        <w:t xml:space="preserve">- абзац первый пункта 13 изложить в следующей редакции:</w:t>
      </w:r>
    </w:p>
    <w:p>
      <w:pPr>
        <w:spacing w:after="60"/>
        <w:ind w:firstLine="567"/>
        <w:jc w:val="both"/>
      </w:pPr>
      <w:r>
        <w:rPr>
          <w:rFonts w:ascii="Arial" w:cs="Arial" w:eastAsia="Arial" w:hAnsi="Arial"/>
          <w:sz w:val="24"/>
          <w:szCs w:val="24"/>
        </w:rPr>
        <w:t xml:space="preserve">"13. Регистрация иностранных граждан и лиц без гражданства производится по адресу, указанному в ходатайстве принимающей стороны. В ходатайстве принимающей стороны должны быть указаны фактические адреса места пребывания указанных лиц.";</w:t>
      </w:r>
    </w:p>
    <w:p>
      <w:pPr>
        <w:spacing w:after="60"/>
        <w:ind w:firstLine="567"/>
        <w:jc w:val="both"/>
      </w:pPr>
      <w:r>
        <w:rPr>
          <w:rFonts w:ascii="Arial" w:cs="Arial" w:eastAsia="Arial" w:hAnsi="Arial"/>
          <w:sz w:val="24"/>
          <w:szCs w:val="24"/>
        </w:rPr>
        <w:t xml:space="preserve">- в пункте 14:</w:t>
      </w:r>
    </w:p>
    <w:p>
      <w:pPr>
        <w:spacing w:after="60"/>
        <w:ind w:firstLine="567"/>
        <w:jc w:val="both"/>
      </w:pPr>
      <w:r>
        <w:rPr>
          <w:rFonts w:ascii="Arial" w:cs="Arial" w:eastAsia="Arial" w:hAnsi="Arial"/>
          <w:sz w:val="24"/>
          <w:szCs w:val="24"/>
        </w:rPr>
        <w:t xml:space="preserve">в подпункте 1:</w:t>
      </w:r>
    </w:p>
    <w:p>
      <w:pPr>
        <w:spacing w:after="60"/>
        <w:ind w:firstLine="567"/>
        <w:jc w:val="both"/>
      </w:pPr>
      <w:r>
        <w:rPr>
          <w:rFonts w:ascii="Arial" w:cs="Arial" w:eastAsia="Arial" w:hAnsi="Arial"/>
          <w:sz w:val="24"/>
          <w:szCs w:val="24"/>
        </w:rPr>
        <w:t xml:space="preserve">абзац второй после слов "лица без гражданства" дополнить словами ", оформляемое сотрудником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абзац третий после слов "постоянный вид на жительство" дополнить словами "и/или в собственности жилое помещение";</w:t>
      </w:r>
    </w:p>
    <w:p>
      <w:pPr>
        <w:spacing w:after="60"/>
        <w:ind w:firstLine="567"/>
        <w:jc w:val="both"/>
      </w:pPr>
      <w:r>
        <w:rPr>
          <w:rFonts w:ascii="Arial" w:cs="Arial" w:eastAsia="Arial" w:hAnsi="Arial"/>
          <w:sz w:val="24"/>
          <w:szCs w:val="24"/>
        </w:rPr>
        <w:t xml:space="preserve">в абзаце пятом слова ", а также его копия" исключить;</w:t>
      </w:r>
    </w:p>
    <w:p>
      <w:pPr>
        <w:spacing w:after="60"/>
        <w:ind w:firstLine="567"/>
        <w:jc w:val="both"/>
      </w:pPr>
      <w:r>
        <w:rPr>
          <w:rFonts w:ascii="Arial" w:cs="Arial" w:eastAsia="Arial" w:hAnsi="Arial"/>
          <w:sz w:val="24"/>
          <w:szCs w:val="24"/>
        </w:rPr>
        <w:t xml:space="preserve">в абзаце шестом слова ", и их копии" исключить;</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для юридических лиц, выступающих принимающей стороной:</w:t>
      </w:r>
    </w:p>
    <w:p>
      <w:pPr>
        <w:spacing w:after="60"/>
        <w:ind w:firstLine="567"/>
        <w:jc w:val="both"/>
      </w:pPr>
      <w:r>
        <w:rPr>
          <w:rFonts w:ascii="Arial" w:cs="Arial" w:eastAsia="Arial" w:hAnsi="Arial"/>
          <w:sz w:val="24"/>
          <w:szCs w:val="24"/>
        </w:rPr>
        <w:t xml:space="preserve">- ходатайство принимающей стороны;</w:t>
      </w:r>
    </w:p>
    <w:p>
      <w:pPr>
        <w:spacing w:after="60"/>
        <w:ind w:firstLine="567"/>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визой;</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spacing w:after="60"/>
        <w:ind w:firstLine="567"/>
        <w:jc w:val="both"/>
      </w:pPr>
      <w:r>
        <w:rPr>
          <w:rFonts w:ascii="Arial" w:cs="Arial" w:eastAsia="Arial" w:hAnsi="Arial"/>
          <w:sz w:val="24"/>
          <w:szCs w:val="24"/>
        </w:rPr>
        <w:t xml:space="preserve">- письменное согласие собственника жилого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в пункте 15:</w:t>
      </w:r>
    </w:p>
    <w:p>
      <w:pPr>
        <w:spacing w:after="60"/>
        <w:ind w:firstLine="567"/>
        <w:jc w:val="both"/>
      </w:pPr>
      <w:r>
        <w:rPr>
          <w:rFonts w:ascii="Arial" w:cs="Arial" w:eastAsia="Arial" w:hAnsi="Arial"/>
          <w:sz w:val="24"/>
          <w:szCs w:val="24"/>
        </w:rPr>
        <w:t xml:space="preserve">абзацы второй и третий изложить в следующей редакции:</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 оформляемое сотрудником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ходатайство учебного заведения, заверенное печатью, с указанием адреса проживания в общежитии. В случае если студенты проживают вне общежитии учебного заведения, регистрация студентов осуществляется на общих основаниях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в абзаце пятом слова ", а также его копия" исключить;</w:t>
      </w:r>
    </w:p>
    <w:p>
      <w:pPr>
        <w:spacing w:after="60"/>
        <w:ind w:firstLine="567"/>
        <w:jc w:val="both"/>
      </w:pPr>
      <w:r>
        <w:rPr>
          <w:rFonts w:ascii="Arial" w:cs="Arial" w:eastAsia="Arial" w:hAnsi="Arial"/>
          <w:sz w:val="24"/>
          <w:szCs w:val="24"/>
        </w:rPr>
        <w:t xml:space="preserve">дополнить абзацем седьмым следующего содержания:</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пункт 16 изложить в следующей редакции:</w:t>
      </w:r>
    </w:p>
    <w:p>
      <w:pPr>
        <w:spacing w:after="60"/>
        <w:ind w:firstLine="567"/>
        <w:jc w:val="both"/>
      </w:pPr>
      <w:r>
        <w:rPr>
          <w:rFonts w:ascii="Arial" w:cs="Arial" w:eastAsia="Arial" w:hAnsi="Arial"/>
          <w:sz w:val="24"/>
          <w:szCs w:val="24"/>
        </w:rPr>
        <w:t xml:space="preserve">"16. Регистрация иностранных граждан и лиц без гражданства, прибывших в Кыргызскую Республику с целью осуществления трудовой деятельности и занятия индивидуальной предпринимательской деятельностью, производится на срок действия трудовой визы. Регистрация граждан иностранных государств, для которых предусмотрен безвизовый режим, производится на срок действия трудового договора или разрешения на работу, выдаваемого уполномоченным государственным органом в сфере миграции, либо сроком на один год в случае осуществления предпринимательской деятельности гражданами государств - членов Евразийского экономического союза. При регистрации предоставляются следующие документы:</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 оформляемое сотрудником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вид на жительство и/или в собственности жилое помещение, а также юридические лица.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разрешение на работу, выданное уполномоченным государственным органом в сфере миграции гражданину государства, для которого предусмотрен безвизовый режим (за исключением граждан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 трудовой договор или свидетельство о регистрации индивидуального предпринимателя для граждан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 паспорт гражданина Кыргызской Республики, постоянный вид на жительство иностранного гражданина 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письменное согласие собственника жилого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Регистрация иностранных граждан и лиц без гражданства, имеющих статус кайрылмана, осуществляется на срок действия удостоверения кайрылмана, при предоставлении следующих документов:</w:t>
      </w:r>
    </w:p>
    <w:p>
      <w:pPr>
        <w:spacing w:after="60"/>
        <w:ind w:firstLine="567"/>
        <w:jc w:val="both"/>
      </w:pPr>
      <w:r>
        <w:rPr>
          <w:rFonts w:ascii="Arial" w:cs="Arial" w:eastAsia="Arial" w:hAnsi="Arial"/>
          <w:sz w:val="24"/>
          <w:szCs w:val="24"/>
        </w:rPr>
        <w:t xml:space="preserve">- заявление иностранного гражданина и лица без гражданства, признанного кайрылманом, оформляемое сотрудником уполномоченного государственного органа в сфере регистрации населения, и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помещение, а также юридические лица.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удостоверение кайрылмана, выданного уполномоченным государственным органом в сфере миграции;</w:t>
      </w:r>
    </w:p>
    <w:p>
      <w:pPr>
        <w:spacing w:after="60"/>
        <w:ind w:firstLine="567"/>
        <w:jc w:val="both"/>
      </w:pPr>
      <w:r>
        <w:rPr>
          <w:rFonts w:ascii="Arial" w:cs="Arial" w:eastAsia="Arial" w:hAnsi="Arial"/>
          <w:sz w:val="24"/>
          <w:szCs w:val="24"/>
        </w:rPr>
        <w:t xml:space="preserve">- паспорт гражданина Кыргызской Республики, постоянный вид на жительство иностранного гражданина 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письменное согласие собственника жилого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пункт 19 изложить в следующей редакции:</w:t>
      </w:r>
    </w:p>
    <w:p>
      <w:pPr>
        <w:spacing w:after="60"/>
        <w:ind w:firstLine="567"/>
        <w:jc w:val="both"/>
      </w:pPr>
      <w:r>
        <w:rPr>
          <w:rFonts w:ascii="Arial" w:cs="Arial" w:eastAsia="Arial" w:hAnsi="Arial"/>
          <w:sz w:val="24"/>
          <w:szCs w:val="24"/>
        </w:rPr>
        <w:t xml:space="preserve">"19. Регистрация иностранных граждан и лиц без гражданства, прибывших в Кыргызскую Республику с деловыми целями по линии сотрудничества с религиозными организациями и иными целями, осуществляется при предоставлении следующих документов:</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 оформляемое сотрудником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юридические лица;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если иное не предусмотрено вступившими в установленном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письменное согласие собственника жилого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автоматизированную информационную систему, подлинники документов подлежат возврату заявителю.";</w:t>
      </w:r>
    </w:p>
    <w:p>
      <w:pPr>
        <w:spacing w:after="60"/>
        <w:ind w:firstLine="567"/>
        <w:jc w:val="both"/>
      </w:pPr>
      <w:r>
        <w:rPr>
          <w:rFonts w:ascii="Arial" w:cs="Arial" w:eastAsia="Arial" w:hAnsi="Arial"/>
          <w:sz w:val="24"/>
          <w:szCs w:val="24"/>
        </w:rPr>
        <w:t xml:space="preserve">- абзац второй пункта 21 изложить в следующей редакции:</w:t>
      </w:r>
    </w:p>
    <w:p>
      <w:pPr>
        <w:spacing w:after="60"/>
        <w:ind w:firstLine="567"/>
        <w:jc w:val="both"/>
      </w:pPr>
      <w:r>
        <w:rPr>
          <w:rFonts w:ascii="Arial" w:cs="Arial" w:eastAsia="Arial" w:hAnsi="Arial"/>
          <w:sz w:val="24"/>
          <w:szCs w:val="24"/>
        </w:rPr>
        <w:t xml:space="preserve">"Регистрационный талон, выдаваемый территориальными подразделениями уполномоченного государственного органа в сфере регистрации населения, удостоверяется подписью должностного лица, если иное не предусмотрено настоящим Порядком.";</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Регистрационный талон состоит из двух частей: первая часть регистрационного талона хранится в автоматизированной информационной системе, вторая часть регистрационного талона выдается иностранному гражданину, лицу без гражданства или принимающей стороне.";</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В случае утери регистрационного талона иностранный гражданин или лицо без гражданства может обратиться с заявлением в любое территориальное подразделение уполномоченного государственного органа в сфере регистрации населения за выдачей дубликата регистрационного талона. При этом, уполномоченный государственный орган в сфере регистрации населения в день обращения выдает дубликат регистрационного талона вне зависимости от места проведения регистрации и выдачи регистрационного талона.";</w:t>
      </w:r>
    </w:p>
    <w:p>
      <w:pPr>
        <w:spacing w:after="60"/>
        <w:ind w:firstLine="567"/>
        <w:jc w:val="both"/>
      </w:pPr>
      <w:r>
        <w:rPr>
          <w:rFonts w:ascii="Arial" w:cs="Arial" w:eastAsia="Arial" w:hAnsi="Arial"/>
          <w:sz w:val="24"/>
          <w:szCs w:val="24"/>
        </w:rPr>
        <w:t xml:space="preserve">- пункт 29 изложить в следующей редакции:</w:t>
      </w:r>
    </w:p>
    <w:p>
      <w:pPr>
        <w:spacing w:after="60"/>
        <w:ind w:firstLine="567"/>
        <w:jc w:val="both"/>
      </w:pPr>
      <w:r>
        <w:rPr>
          <w:rFonts w:ascii="Arial" w:cs="Arial" w:eastAsia="Arial" w:hAnsi="Arial"/>
          <w:sz w:val="24"/>
          <w:szCs w:val="24"/>
        </w:rPr>
        <w:t xml:space="preserve">"29. Иностранный гражданин и лицо без гражданства, а также принимающая сторона для проведения регистрации или продления регистрации в уполномоченном государственном органе в сфере регистрации населения могут пройти процедуру регистрации или продления регистрации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пункт 30 изложить в следующей редакции:</w:t>
      </w:r>
    </w:p>
    <w:p>
      <w:pPr>
        <w:spacing w:after="60"/>
        <w:ind w:firstLine="567"/>
        <w:jc w:val="both"/>
      </w:pPr>
      <w:r>
        <w:rPr>
          <w:rFonts w:ascii="Arial" w:cs="Arial" w:eastAsia="Arial" w:hAnsi="Arial"/>
          <w:sz w:val="24"/>
          <w:szCs w:val="24"/>
        </w:rPr>
        <w:t xml:space="preserve">"30. Иностранный гражданин и лицо без гражданства, а также принимающая сторона, желающие пройти процедуру регистрации или продления регистрации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1) проходит процедуру авторизации на сайте уполномоченного государственного органа в сфере регистрации населения посредством введения данных паспорта гражданина Кыргызской Республики образца 2017 года или электронной подписи;</w:t>
      </w:r>
    </w:p>
    <w:p>
      <w:pPr>
        <w:spacing w:after="60"/>
        <w:ind w:firstLine="567"/>
        <w:jc w:val="both"/>
      </w:pPr>
      <w:r>
        <w:rPr>
          <w:rFonts w:ascii="Arial" w:cs="Arial" w:eastAsia="Arial" w:hAnsi="Arial"/>
          <w:sz w:val="24"/>
          <w:szCs w:val="24"/>
        </w:rPr>
        <w:t xml:space="preserve">2) выбирает по справочнику гражданство иностранного гражданина или ставит отметку о лице без гражданства и вводит следующие реквизиты:</w:t>
      </w:r>
    </w:p>
    <w:p>
      <w:pPr>
        <w:spacing w:after="60"/>
        <w:ind w:firstLine="567"/>
        <w:jc w:val="both"/>
      </w:pPr>
      <w:r>
        <w:rPr>
          <w:rFonts w:ascii="Arial" w:cs="Arial" w:eastAsia="Arial" w:hAnsi="Arial"/>
          <w:sz w:val="24"/>
          <w:szCs w:val="24"/>
        </w:rPr>
        <w:t xml:space="preserve">- номер, дата и серия паспорта или удостоверения личности иностранного гражданина или лица без гражданства;</w:t>
      </w:r>
    </w:p>
    <w:p>
      <w:pPr>
        <w:spacing w:after="60"/>
        <w:ind w:firstLine="567"/>
        <w:jc w:val="both"/>
      </w:pPr>
      <w:r>
        <w:rPr>
          <w:rFonts w:ascii="Arial" w:cs="Arial" w:eastAsia="Arial" w:hAnsi="Arial"/>
          <w:sz w:val="24"/>
          <w:szCs w:val="24"/>
        </w:rPr>
        <w:t xml:space="preserve">- число, месяц и год рождения;</w:t>
      </w:r>
    </w:p>
    <w:p>
      <w:pPr>
        <w:spacing w:after="60"/>
        <w:ind w:firstLine="567"/>
        <w:jc w:val="both"/>
      </w:pPr>
      <w:r>
        <w:rPr>
          <w:rFonts w:ascii="Arial" w:cs="Arial" w:eastAsia="Arial" w:hAnsi="Arial"/>
          <w:sz w:val="24"/>
          <w:szCs w:val="24"/>
        </w:rPr>
        <w:t xml:space="preserve">- адрес электронной почты;</w:t>
      </w:r>
    </w:p>
    <w:p>
      <w:pPr>
        <w:spacing w:after="60"/>
        <w:ind w:firstLine="567"/>
        <w:jc w:val="both"/>
      </w:pPr>
      <w:r>
        <w:rPr>
          <w:rFonts w:ascii="Arial" w:cs="Arial" w:eastAsia="Arial" w:hAnsi="Arial"/>
          <w:sz w:val="24"/>
          <w:szCs w:val="24"/>
        </w:rPr>
        <w:t xml:space="preserve">- дополнительные данные в соответствии с руководством о порядке регистрации, утвержденным руководителем уполномоченного государственного органа в сфере регистрации населения, размещенным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3) заполняет электронное заявление с приложением электронных копий документов, согласно пунктам 14-19 настоящего Порядка;</w:t>
      </w:r>
    </w:p>
    <w:p>
      <w:pPr>
        <w:spacing w:after="60"/>
        <w:ind w:firstLine="567"/>
        <w:jc w:val="both"/>
      </w:pPr>
      <w:r>
        <w:rPr>
          <w:rFonts w:ascii="Arial" w:cs="Arial" w:eastAsia="Arial" w:hAnsi="Arial"/>
          <w:sz w:val="24"/>
          <w:szCs w:val="24"/>
        </w:rPr>
        <w:t xml:space="preserve">4) дает согласие на обработку персональных данных и подтверждает электронное заявление.</w:t>
      </w:r>
    </w:p>
    <w:p>
      <w:pPr>
        <w:spacing w:after="60"/>
        <w:ind w:firstLine="567"/>
        <w:jc w:val="both"/>
      </w:pPr>
      <w:r>
        <w:rPr>
          <w:rFonts w:ascii="Arial" w:cs="Arial" w:eastAsia="Arial" w:hAnsi="Arial"/>
          <w:sz w:val="24"/>
          <w:szCs w:val="24"/>
        </w:rPr>
        <w:t xml:space="preserve">После подтверждения электронного заявления, электронный портал генерирует код уплаты государственной пошлины для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Порядок уплаты государственной пошлины размещается на сайте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После выполнения действий, указанных в пункте 30 настоящего Порядка, на указанный адрес электронной почты, не позднее следующего рабочего дня со дня прохождения регистрации, на сайте уполномоченного государственного органа в сфере регистрации населения поступает регистрационный талон или уведомление об отказе в прохождении регистрации, с указанием причин и дальнейших действий иностранного гражданина или лица без гражданства, а также принимающей стороны. Днем регистрации считается день получения регистрационного талона.</w:t>
      </w:r>
    </w:p>
    <w:p>
      <w:pPr>
        <w:spacing w:after="60"/>
        <w:ind w:firstLine="567"/>
        <w:jc w:val="both"/>
      </w:pPr>
      <w:r>
        <w:rPr>
          <w:rFonts w:ascii="Arial" w:cs="Arial" w:eastAsia="Arial" w:hAnsi="Arial"/>
          <w:sz w:val="24"/>
          <w:szCs w:val="24"/>
        </w:rPr>
        <w:t xml:space="preserve">При этом, регистрационный талон не подписывается сотрудником подразделения, выдавшим талон.";</w:t>
      </w:r>
    </w:p>
    <w:p>
      <w:pPr>
        <w:spacing w:after="60"/>
        <w:ind w:firstLine="567"/>
        <w:jc w:val="both"/>
      </w:pPr>
      <w:r>
        <w:rPr>
          <w:rFonts w:ascii="Arial" w:cs="Arial" w:eastAsia="Arial" w:hAnsi="Arial"/>
          <w:sz w:val="24"/>
          <w:szCs w:val="24"/>
        </w:rPr>
        <w:t xml:space="preserve">- пункты 32 и 33 признать утратившими силу;</w:t>
      </w:r>
    </w:p>
    <w:p>
      <w:pPr>
        <w:spacing w:after="120"/>
        <w:ind w:firstLine="567"/>
        <w:jc w:val="both"/>
      </w:pPr>
      <w:r>
        <w:rPr>
          <w:rFonts w:ascii="Arial" w:cs="Arial" w:eastAsia="Arial" w:hAnsi="Arial"/>
          <w:sz w:val="24"/>
          <w:szCs w:val="24"/>
        </w:rPr>
        <w:t xml:space="preserve">- </w:t>
      </w:r>
      <w:hyperlink w:history="1" r:id="rIdpm49ixtsdq0bah7d8jlp5">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настоящему Порядку изложить в следующей редакции:</w:t>
      </w:r>
    </w:p>
    <w:p>
      <w:pPr>
        <w:spacing w:after="120"/>
        <w:jc w:val="center"/>
      </w:pPr>
      <w:r>
        <w:rPr>
          <w:rFonts w:ascii="Arial" w:cs="Arial" w:eastAsia="Arial" w:hAnsi="Arial"/>
          <w:sz w:val="24"/>
          <w:szCs w:val="24"/>
        </w:rPr>
        <w:t xml:space="preserve">"</w:t>
      </w:r>
      <w:hyperlink w:history="1" r:id="rIdtf3crcypn4nbj3khfo3uf">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Порядку регистрации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КАТТОО ТАЛОНУ / РЕГИСТРАЦИОННЫЙ ТАЛОН / REGISTRATION CARD</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38"/>
        <w:gridCol w:w="1840"/>
      </w:tblGrid>
      <w:tr>
        <w:tc>
          <w:tcPr>
            <w:tcW w:type="dxa" w:w="8338"/>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КАТТОО ТАЛОНУ / РЕГИСТРАЦИОННЫЙ ТАЛОН / REGISTRATION CARD</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чет олколук жаранды жана жарандыгы жок адамды келген жеринде / иностранного гражданина и лица без гражданства</w:t>
            </w:r>
          </w:p>
          <w:p>
            <w:pPr>
              <w:jc w:val="left"/>
            </w:pPr>
            <w:r>
              <w:rPr>
                <w:rFonts w:ascii="Arial" w:cs="Arial" w:eastAsia="Arial" w:hAnsi="Arial"/>
                <w:sz w:val="24"/>
                <w:szCs w:val="24"/>
              </w:rPr>
              <w:t xml:space="preserve">по месту пребывания</w:t>
            </w:r>
            <w:r>
              <w:rPr>
                <w:rFonts w:ascii="Arial" w:cs="Arial" w:eastAsia="Arial" w:hAnsi="Arial"/>
                <w:sz w:val="24"/>
                <w:szCs w:val="24"/>
              </w:rPr>
              <w:t xml:space="preserve"> / foreign citizen and persons without citizenship at the place of stay </w:t>
            </w:r>
            <w:r>
              <w:rPr>
                <w:rFonts w:ascii="Arial" w:cs="Arial" w:eastAsia="Arial" w:hAnsi="Arial"/>
                <w:sz w:val="24"/>
                <w:szCs w:val="24"/>
              </w:rPr>
              <w:t xml:space="preserve">Фамилиясы</w:t>
            </w:r>
            <w:r>
              <w:rPr>
                <w:rFonts w:ascii="Arial" w:cs="Arial" w:eastAsia="Arial" w:hAnsi="Arial"/>
                <w:sz w:val="24"/>
                <w:szCs w:val="24"/>
              </w:rPr>
              <w:t xml:space="preserve">, </w:t>
            </w:r>
            <w:r>
              <w:rPr>
                <w:rFonts w:ascii="Arial" w:cs="Arial" w:eastAsia="Arial" w:hAnsi="Arial"/>
                <w:sz w:val="24"/>
                <w:szCs w:val="24"/>
              </w:rPr>
              <w:t xml:space="preserve">аты</w:t>
            </w:r>
            <w:r>
              <w:rPr>
                <w:rFonts w:ascii="Arial" w:cs="Arial" w:eastAsia="Arial" w:hAnsi="Arial"/>
                <w:sz w:val="24"/>
                <w:szCs w:val="24"/>
              </w:rPr>
              <w:t xml:space="preserve">, </w:t>
            </w:r>
            <w:r>
              <w:rPr>
                <w:rFonts w:ascii="Arial" w:cs="Arial" w:eastAsia="Arial" w:hAnsi="Arial"/>
                <w:sz w:val="24"/>
                <w:szCs w:val="24"/>
              </w:rPr>
              <w:t xml:space="preserve">атасынын</w:t>
            </w:r>
          </w:p>
          <w:p>
            <w:pPr>
              <w:jc w:val="left"/>
            </w:pPr>
            <w:r>
              <w:rPr>
                <w:rFonts w:ascii="Arial" w:cs="Arial" w:eastAsia="Arial" w:hAnsi="Arial"/>
                <w:sz w:val="24"/>
                <w:szCs w:val="24"/>
              </w:rPr>
              <w:t xml:space="preserve">аты</w:t>
            </w:r>
            <w:r>
              <w:rPr>
                <w:rFonts w:ascii="Arial" w:cs="Arial" w:eastAsia="Arial" w:hAnsi="Arial"/>
                <w:sz w:val="24"/>
                <w:szCs w:val="24"/>
              </w:rPr>
              <w:t xml:space="preserve"> / </w:t>
            </w:r>
            <w:r>
              <w:rPr>
                <w:rFonts w:ascii="Arial" w:cs="Arial" w:eastAsia="Arial" w:hAnsi="Arial"/>
                <w:sz w:val="24"/>
                <w:szCs w:val="24"/>
              </w:rPr>
              <w:t xml:space="preserve">Фамилия</w:t>
            </w:r>
            <w:r>
              <w:rPr>
                <w:rFonts w:ascii="Arial" w:cs="Arial" w:eastAsia="Arial" w:hAnsi="Arial"/>
                <w:sz w:val="24"/>
                <w:szCs w:val="24"/>
              </w:rPr>
              <w:t xml:space="preserve">, </w:t>
            </w:r>
            <w:r>
              <w:rPr>
                <w:rFonts w:ascii="Arial" w:cs="Arial" w:eastAsia="Arial" w:hAnsi="Arial"/>
                <w:sz w:val="24"/>
                <w:szCs w:val="24"/>
              </w:rPr>
              <w:t xml:space="preserve">имя</w:t>
            </w:r>
            <w:r>
              <w:rPr>
                <w:rFonts w:ascii="Arial" w:cs="Arial" w:eastAsia="Arial" w:hAnsi="Arial"/>
                <w:sz w:val="24"/>
                <w:szCs w:val="24"/>
              </w:rPr>
              <w:t xml:space="preserve">, </w:t>
            </w:r>
            <w:r>
              <w:rPr>
                <w:rFonts w:ascii="Arial" w:cs="Arial" w:eastAsia="Arial" w:hAnsi="Arial"/>
                <w:sz w:val="24"/>
                <w:szCs w:val="24"/>
              </w:rPr>
              <w:t xml:space="preserve">отчество</w:t>
            </w:r>
            <w:r>
              <w:rPr>
                <w:rFonts w:ascii="Arial" w:cs="Arial" w:eastAsia="Arial" w:hAnsi="Arial"/>
                <w:sz w:val="24"/>
                <w:szCs w:val="24"/>
              </w:rPr>
              <w:t xml:space="preserve"> / Surname Name Middle name 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Жарандыгы</w:t>
            </w:r>
            <w:r>
              <w:rPr>
                <w:rFonts w:ascii="Arial" w:cs="Arial" w:eastAsia="Arial" w:hAnsi="Arial"/>
                <w:sz w:val="24"/>
                <w:szCs w:val="24"/>
              </w:rPr>
              <w:t xml:space="preserve"> / </w:t>
            </w:r>
            <w:r>
              <w:rPr>
                <w:rFonts w:ascii="Arial" w:cs="Arial" w:eastAsia="Arial" w:hAnsi="Arial"/>
                <w:sz w:val="24"/>
                <w:szCs w:val="24"/>
              </w:rPr>
              <w:t xml:space="preserve">Гражданство</w:t>
            </w:r>
            <w:r>
              <w:rPr>
                <w:rFonts w:ascii="Arial" w:cs="Arial" w:eastAsia="Arial" w:hAnsi="Arial"/>
                <w:sz w:val="24"/>
                <w:szCs w:val="24"/>
              </w:rPr>
              <w:t xml:space="preserve"> / Citizenship</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Туулган куну</w:t>
            </w:r>
            <w:r>
              <w:rPr>
                <w:rFonts w:ascii="Arial" w:cs="Arial" w:eastAsia="Arial" w:hAnsi="Arial"/>
                <w:sz w:val="24"/>
                <w:szCs w:val="24"/>
              </w:rPr>
              <w:t xml:space="preserve"> / </w:t>
            </w:r>
            <w:r>
              <w:rPr>
                <w:rFonts w:ascii="Arial" w:cs="Arial" w:eastAsia="Arial" w:hAnsi="Arial"/>
                <w:sz w:val="24"/>
                <w:szCs w:val="24"/>
              </w:rPr>
              <w:t xml:space="preserve">Дата рождения</w:t>
            </w:r>
            <w:r>
              <w:rPr>
                <w:rFonts w:ascii="Arial" w:cs="Arial" w:eastAsia="Arial" w:hAnsi="Arial"/>
                <w:sz w:val="24"/>
                <w:szCs w:val="24"/>
              </w:rPr>
              <w:t xml:space="preserve"> / Date of birth _________________________________________________________________</w:t>
            </w:r>
          </w:p>
          <w:p>
            <w:pPr>
              <w:jc w:val="left"/>
            </w:pPr>
            <w:r>
              <w:rPr>
                <w:rFonts w:ascii="Arial" w:cs="Arial" w:eastAsia="Arial" w:hAnsi="Arial"/>
                <w:sz w:val="24"/>
                <w:szCs w:val="24"/>
              </w:rPr>
              <w:t xml:space="preserve">Инсандын документи / Документ, удостоверяющий личность / The identity document / Туру, сериясы, номери /</w:t>
            </w:r>
          </w:p>
          <w:p>
            <w:pPr>
              <w:jc w:val="left"/>
            </w:pPr>
            <w:r>
              <w:rPr>
                <w:rFonts w:ascii="Arial" w:cs="Arial" w:eastAsia="Arial" w:hAnsi="Arial"/>
                <w:sz w:val="24"/>
                <w:szCs w:val="24"/>
              </w:rPr>
              <w:t xml:space="preserve">Вид</w:t>
            </w:r>
            <w:r>
              <w:rPr>
                <w:rFonts w:ascii="Arial" w:cs="Arial" w:eastAsia="Arial" w:hAnsi="Arial"/>
                <w:sz w:val="24"/>
                <w:szCs w:val="24"/>
              </w:rPr>
              <w:t xml:space="preserve">, </w:t>
            </w:r>
            <w:r>
              <w:rPr>
                <w:rFonts w:ascii="Arial" w:cs="Arial" w:eastAsia="Arial" w:hAnsi="Arial"/>
                <w:sz w:val="24"/>
                <w:szCs w:val="24"/>
              </w:rPr>
              <w:t xml:space="preserve">серия</w:t>
            </w:r>
            <w:r>
              <w:rPr>
                <w:rFonts w:ascii="Arial" w:cs="Arial" w:eastAsia="Arial" w:hAnsi="Arial"/>
                <w:sz w:val="24"/>
                <w:szCs w:val="24"/>
              </w:rPr>
              <w:t xml:space="preserve">, </w:t>
            </w:r>
            <w:r>
              <w:rPr>
                <w:rFonts w:ascii="Arial" w:cs="Arial" w:eastAsia="Arial" w:hAnsi="Arial"/>
                <w:sz w:val="24"/>
                <w:szCs w:val="24"/>
              </w:rPr>
              <w:t xml:space="preserve">номер</w:t>
            </w:r>
            <w:r>
              <w:rPr>
                <w:rFonts w:ascii="Arial" w:cs="Arial" w:eastAsia="Arial" w:hAnsi="Arial"/>
                <w:sz w:val="24"/>
                <w:szCs w:val="24"/>
              </w:rPr>
              <w:t xml:space="preserve"> / Type Series Number):</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Келген жеринен томонку даректе катталды / Зарегистрирован по месту пребывания по адресу / Registered at the</w:t>
            </w:r>
          </w:p>
          <w:p>
            <w:pPr>
              <w:jc w:val="left"/>
            </w:pPr>
            <w:r>
              <w:rPr>
                <w:rFonts w:ascii="Arial" w:cs="Arial" w:eastAsia="Arial" w:hAnsi="Arial"/>
                <w:sz w:val="24"/>
                <w:szCs w:val="24"/>
              </w:rPr>
              <w:t xml:space="preserve">place of stay</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Кирип келген датасы</w:t>
            </w:r>
            <w:r>
              <w:rPr>
                <w:rFonts w:ascii="Arial" w:cs="Arial" w:eastAsia="Arial" w:hAnsi="Arial"/>
                <w:sz w:val="24"/>
                <w:szCs w:val="24"/>
              </w:rPr>
              <w:t xml:space="preserve"> / </w:t>
            </w:r>
            <w:r>
              <w:rPr>
                <w:rFonts w:ascii="Arial" w:cs="Arial" w:eastAsia="Arial" w:hAnsi="Arial"/>
                <w:sz w:val="24"/>
                <w:szCs w:val="24"/>
              </w:rPr>
              <w:t xml:space="preserve">Дата въезда</w:t>
            </w:r>
            <w:r>
              <w:rPr>
                <w:rFonts w:ascii="Arial" w:cs="Arial" w:eastAsia="Arial" w:hAnsi="Arial"/>
                <w:sz w:val="24"/>
                <w:szCs w:val="24"/>
              </w:rPr>
              <w:t xml:space="preserve"> / Date of entry ____________________________________________________________</w:t>
            </w:r>
          </w:p>
          <w:p>
            <w:pPr>
              <w:jc w:val="left"/>
            </w:pPr>
            <w:r>
              <w:rPr>
                <w:rFonts w:ascii="Arial" w:cs="Arial" w:eastAsia="Arial" w:hAnsi="Arial"/>
                <w:sz w:val="24"/>
                <w:szCs w:val="24"/>
              </w:rPr>
              <w:t xml:space="preserve">Катталган куну / Дата регистрации / Date of registration ________________________________________________________</w:t>
            </w:r>
          </w:p>
          <w:p>
            <w:pPr>
              <w:jc w:val="left"/>
            </w:pPr>
            <w:r>
              <w:rPr>
                <w:rFonts w:ascii="Arial" w:cs="Arial" w:eastAsia="Arial" w:hAnsi="Arial"/>
                <w:sz w:val="24"/>
                <w:szCs w:val="24"/>
              </w:rPr>
              <w:t xml:space="preserve">Чейин / По / То _________________________________________________________________________________________</w:t>
            </w:r>
          </w:p>
          <w:p>
            <w:pPr>
              <w:jc w:val="left"/>
            </w:pPr>
            <w:r>
              <w:rPr>
                <w:rFonts w:ascii="Arial" w:cs="Arial" w:eastAsia="Arial" w:hAnsi="Arial"/>
                <w:sz w:val="24"/>
                <w:szCs w:val="24"/>
              </w:rPr>
              <w:t xml:space="preserve">Талонду берген органдын аталышы / Наименование органа, выдавшего талон / The name of authority issuing the</w:t>
            </w:r>
          </w:p>
          <w:p>
            <w:pPr>
              <w:jc w:val="left"/>
            </w:pPr>
            <w:r>
              <w:rPr>
                <w:rFonts w:ascii="Arial" w:cs="Arial" w:eastAsia="Arial" w:hAnsi="Arial"/>
                <w:sz w:val="24"/>
                <w:szCs w:val="24"/>
              </w:rPr>
              <w:t xml:space="preserve">card:</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Кабыл алган тарап / Принимающая сторона / The host:</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Инсандын документи / Документ, удостоверяющий личность / The identity document / Туру, сериясы, номери /</w:t>
            </w:r>
          </w:p>
          <w:p>
            <w:pPr>
              <w:jc w:val="left"/>
            </w:pPr>
            <w:r>
              <w:rPr>
                <w:rFonts w:ascii="Arial" w:cs="Arial" w:eastAsia="Arial" w:hAnsi="Arial"/>
                <w:sz w:val="24"/>
                <w:szCs w:val="24"/>
              </w:rPr>
              <w:t xml:space="preserve">Вид</w:t>
            </w:r>
            <w:r>
              <w:rPr>
                <w:rFonts w:ascii="Arial" w:cs="Arial" w:eastAsia="Arial" w:hAnsi="Arial"/>
                <w:sz w:val="24"/>
                <w:szCs w:val="24"/>
              </w:rPr>
              <w:t xml:space="preserve">, </w:t>
            </w:r>
            <w:r>
              <w:rPr>
                <w:rFonts w:ascii="Arial" w:cs="Arial" w:eastAsia="Arial" w:hAnsi="Arial"/>
                <w:sz w:val="24"/>
                <w:szCs w:val="24"/>
              </w:rPr>
              <w:t xml:space="preserve">серия</w:t>
            </w:r>
            <w:r>
              <w:rPr>
                <w:rFonts w:ascii="Arial" w:cs="Arial" w:eastAsia="Arial" w:hAnsi="Arial"/>
                <w:sz w:val="24"/>
                <w:szCs w:val="24"/>
              </w:rPr>
              <w:t xml:space="preserve">, </w:t>
            </w:r>
            <w:r>
              <w:rPr>
                <w:rFonts w:ascii="Arial" w:cs="Arial" w:eastAsia="Arial" w:hAnsi="Arial"/>
                <w:sz w:val="24"/>
                <w:szCs w:val="24"/>
              </w:rPr>
              <w:t xml:space="preserve">номер</w:t>
            </w:r>
            <w:r>
              <w:rPr>
                <w:rFonts w:ascii="Arial" w:cs="Arial" w:eastAsia="Arial" w:hAnsi="Arial"/>
                <w:sz w:val="24"/>
                <w:szCs w:val="24"/>
              </w:rPr>
              <w:t xml:space="preserve"> / Type Series Number):</w:t>
            </w:r>
          </w:p>
          <w:p>
            <w:pPr>
              <w:jc w:val="left"/>
            </w:pPr>
            <w:r>
              <w:rPr>
                <w:rFonts w:ascii="Arial" w:cs="Arial" w:eastAsia="Arial" w:hAnsi="Arial"/>
                <w:sz w:val="24"/>
                <w:szCs w:val="24"/>
              </w:rPr>
              <w:t xml:space="preserve">_____________________________________________________________________________________________________</w:t>
            </w:r>
          </w:p>
          <w:p>
            <w:pPr>
              <w:jc w:val="left"/>
            </w:pPr>
            <w:r>
              <w:rPr>
                <w:rFonts w:ascii="Arial" w:cs="Arial" w:eastAsia="Arial" w:hAnsi="Arial"/>
                <w:sz w:val="24"/>
                <w:szCs w:val="24"/>
              </w:rPr>
              <w:t xml:space="preserve">Талонду берген адамдын колу / Подпись сотрудника, выдавшего талон / Signature of the officer: ____________________</w:t>
            </w:r>
          </w:p>
          <w:p>
            <w:pPr>
              <w:jc w:val="left"/>
            </w:pPr>
            <w:r>
              <w:rPr>
                <w:rFonts w:ascii="Arial" w:cs="Arial" w:eastAsia="Arial" w:hAnsi="Arial"/>
                <w:sz w:val="24"/>
                <w:szCs w:val="24"/>
              </w:rPr>
              <w:t xml:space="preserve"/>
            </w:r>
          </w:p>
        </w:tc>
        <w:tc>
          <w:tcPr>
            <w:tcW w:type="dxa" w:w="18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2lhnjk5sinve4lanyot">
      <w:r>
        <w:rPr>
          <w:rFonts w:ascii="Arial" w:cs="Arial" w:eastAsia="Arial" w:hAnsi="Arial"/>
          <w:color w:val="132D3F"/>
          <w:sz w:val="16"/>
          <w:szCs w:val="16"/>
          <w:u w:val="single"/>
        </w:rPr>
        <w:t xml:space="preserve">dalil.kg/document/157078</w:t>
      </w:r>
    </w:hyperlink>
  </w:p>
  <w:p>
    <w:pPr>
      <w:spacing w:after="0" w:before="40"/>
      <w:jc w:val="center"/>
    </w:pPr>
    <w:hyperlink w:history="1" r:id="rIdfc6cdkxf3rquvxrxpun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efacafrmv1b5sjanejp" Type="http://schemas.openxmlformats.org/officeDocument/2006/relationships/hyperlink" Target="https://dalil.kg/document/203685" TargetMode="External"/><Relationship Id="rIdf79gwwp5utdovv_6qg6tp" Type="http://schemas.openxmlformats.org/officeDocument/2006/relationships/hyperlink" Target="https://dalil.kg/document/98720" TargetMode="External"/><Relationship Id="rIdcw4hsg5j4_dtnjz-zbt-w" Type="http://schemas.openxmlformats.org/officeDocument/2006/relationships/hyperlink" Target="https://dalil.kg/document/98720#p1" TargetMode="External"/><Relationship Id="rIdqyhxqbndxafz4urk1gnmp" Type="http://schemas.openxmlformats.org/officeDocument/2006/relationships/hyperlink" Target="https://dalil.kg/document/98720" TargetMode="External"/><Relationship Id="rIdeh9gu5n3oanwryrlphsis" Type="http://schemas.openxmlformats.org/officeDocument/2006/relationships/hyperlink" Target="https://dalil.kg/document/157078#p1" TargetMode="External"/><Relationship Id="rIdjy5hnbi4bu7wppqfraoc6" Type="http://schemas.openxmlformats.org/officeDocument/2006/relationships/hyperlink" Target="https://dalil.kg/document/98720#p2" TargetMode="External"/><Relationship Id="rIdsvwyjtk36sj8i_-nlvpdu" Type="http://schemas.openxmlformats.org/officeDocument/2006/relationships/hyperlink" Target="https://dalil.kg/document/98720" TargetMode="External"/><Relationship Id="rIdu6okmlsqm-l2ayknxkswm" Type="http://schemas.openxmlformats.org/officeDocument/2006/relationships/hyperlink" Target="https://dalil.kg/document/157078#p2" TargetMode="External"/><Relationship Id="rIdk9fvs3sfsp6ad7nf9mutf" Type="http://schemas.openxmlformats.org/officeDocument/2006/relationships/hyperlink" Target="https://dalil.kg/document/98720#p1" TargetMode="External"/><Relationship Id="rIdvvbkxqa92pbzmi9j2u9c9" Type="http://schemas.openxmlformats.org/officeDocument/2006/relationships/hyperlink" Target="https://dalil.kg/document/98720#p2" TargetMode="External"/><Relationship Id="rIdkcsk6grzos44e-4nx2tto" Type="http://schemas.openxmlformats.org/officeDocument/2006/relationships/hyperlink" Target="https://dalil.kg/document/98720" TargetMode="External"/><Relationship Id="rIdpm49ixtsdq0bah7d8jlp5" Type="http://schemas.openxmlformats.org/officeDocument/2006/relationships/hyperlink" Target="https://dalil.kg/document/98720#pr1" TargetMode="External"/><Relationship Id="rIdtf3crcypn4nbj3khfo3uf" Type="http://schemas.openxmlformats.org/officeDocument/2006/relationships/hyperlink" Target="https://dalil.kg/document/pr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2lhnjk5sinve4lanyot" Type="http://schemas.openxmlformats.org/officeDocument/2006/relationships/hyperlink" Target="https://dalil.kg/document/157078" TargetMode="External"/><Relationship Id="rIdfc6cdkxf3rquvxrxpun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2026-09-24T06:01:41.519Z</dcterms:created>
  <dcterms:modified xsi:type="dcterms:W3CDTF">2026-09-24T06:01:41.519Z</dcterms:modified>
</cp:coreProperties>
</file>

<file path=docProps/custom.xml><?xml version="1.0" encoding="utf-8"?>
<Properties xmlns="http://schemas.openxmlformats.org/officeDocument/2006/custom-properties" xmlns:vt="http://schemas.openxmlformats.org/officeDocument/2006/docPropsVTypes"/>
</file>