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lhf8s_wjvjsaowd1xfwo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10 сентября 2019 года № 464)</w:t>
      </w:r>
    </w:p>
    <w:p>
      <w:pPr>
        <w:spacing w:after="400" w:before="400"/>
        <w:jc w:val="center"/>
      </w:pPr>
      <w:r>
        <w:rPr>
          <w:rFonts w:ascii="Arial" w:cs="Arial" w:eastAsia="Arial" w:hAnsi="Arial"/>
          <w:b/>
          <w:bCs/>
          <w:sz w:val="32"/>
          <w:szCs w:val="32"/>
        </w:rPr>
        <w:t xml:space="preserve">ПОРЯДОК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1pvu1te2c2mhz7tfxjqf">
        <w:r>
          <w:rPr>
            <w:rFonts w:ascii="Arial" w:cs="Arial" w:eastAsia="Arial" w:hAnsi="Arial"/>
            <w:color w:val="1D4ED8"/>
            <w:sz w:val="24"/>
            <w:szCs w:val="24"/>
            <w:u w:val="single"/>
          </w:rPr>
          <w:t xml:space="preserve">4 ноября 2022 года № 613</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устанавливает правила предоставления, продления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 независимо от принадлежности и форм собственности.</w:t>
      </w:r>
    </w:p>
    <w:p>
      <w:pPr>
        <w:spacing w:after="60"/>
        <w:ind w:firstLine="567"/>
        <w:jc w:val="both"/>
      </w:pPr>
      <w:r>
        <w:rPr>
          <w:rFonts w:ascii="Arial" w:cs="Arial" w:eastAsia="Arial" w:hAnsi="Arial"/>
          <w:sz w:val="24"/>
          <w:szCs w:val="24"/>
        </w:rPr>
        <w:t xml:space="preserve">2. По решению государственного органа по обеспечению единства измерений по отдельным видам измерений, при отсутствии соответствующих эталонов национального органа по метрологии, допускается предоставление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 в составе которых функционируют метрологические службы (далее - метрологическая служба).</w:t>
      </w:r>
    </w:p>
    <w:p>
      <w:pPr>
        <w:spacing w:after="60"/>
        <w:ind w:firstLine="567"/>
        <w:jc w:val="both"/>
      </w:pPr>
      <w:r>
        <w:rPr>
          <w:rFonts w:ascii="Arial" w:cs="Arial" w:eastAsia="Arial" w:hAnsi="Arial"/>
          <w:sz w:val="24"/>
          <w:szCs w:val="24"/>
        </w:rPr>
        <w:t xml:space="preserve">3. Право на проведение испытаний средств измерений и (или) аттестации стандартных образцов с целью утверждения типа и (или) поверки средств измерений предоставляется метрологическим службам, которые не занимаются изготовлением, импортом, продажей и ремонтом средств измерений в заявленных областях деятельности.</w:t>
      </w:r>
    </w:p>
    <w:p>
      <w:pPr>
        <w:spacing w:after="200" w:before="200"/>
        <w:jc w:val="center"/>
      </w:pPr>
      <w:r>
        <w:rPr>
          <w:rFonts w:ascii="Arial" w:cs="Arial" w:eastAsia="Arial" w:hAnsi="Arial"/>
          <w:b/>
          <w:bCs/>
          <w:sz w:val="24"/>
          <w:szCs w:val="24"/>
        </w:rPr>
        <w:t xml:space="preserve">2. Требования к метрологическим службам, претендующим на право проведения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4. Деятельность метрологической службы должна осуществляться в соответствии с законодательством Кыргызской Республики по обеспечению единства измерений.</w:t>
      </w:r>
    </w:p>
    <w:p>
      <w:pPr>
        <w:spacing w:after="60"/>
        <w:ind w:firstLine="567"/>
        <w:jc w:val="both"/>
      </w:pPr>
      <w:r>
        <w:rPr>
          <w:rFonts w:ascii="Arial" w:cs="Arial" w:eastAsia="Arial" w:hAnsi="Arial"/>
          <w:sz w:val="24"/>
          <w:szCs w:val="24"/>
        </w:rPr>
        <w:t xml:space="preserve">5. Метрологическая служба должна иметь необходимые для этой деятельности условия:</w:t>
      </w:r>
    </w:p>
    <w:p>
      <w:pPr>
        <w:spacing w:after="60"/>
        <w:ind w:firstLine="567"/>
        <w:jc w:val="both"/>
      </w:pPr>
      <w:r>
        <w:rPr>
          <w:rFonts w:ascii="Arial" w:cs="Arial" w:eastAsia="Arial" w:hAnsi="Arial"/>
          <w:sz w:val="24"/>
          <w:szCs w:val="24"/>
        </w:rPr>
        <w:t xml:space="preserve">1) оборудование и помещения;</w:t>
      </w:r>
    </w:p>
    <w:p>
      <w:pPr>
        <w:spacing w:after="60"/>
        <w:ind w:firstLine="567"/>
        <w:jc w:val="both"/>
      </w:pPr>
      <w:r>
        <w:rPr>
          <w:rFonts w:ascii="Arial" w:cs="Arial" w:eastAsia="Arial" w:hAnsi="Arial"/>
          <w:sz w:val="24"/>
          <w:szCs w:val="24"/>
        </w:rPr>
        <w:t xml:space="preserve">2) наличие квалифицированного персонала;</w:t>
      </w:r>
    </w:p>
    <w:p>
      <w:pPr>
        <w:spacing w:after="60"/>
        <w:ind w:firstLine="567"/>
        <w:jc w:val="both"/>
      </w:pPr>
      <w:r>
        <w:rPr>
          <w:rFonts w:ascii="Arial" w:cs="Arial" w:eastAsia="Arial" w:hAnsi="Arial"/>
          <w:sz w:val="24"/>
          <w:szCs w:val="24"/>
        </w:rPr>
        <w:t xml:space="preserve">3) прослеживаемость используемых эталонов и средств измерений.</w:t>
      </w:r>
    </w:p>
    <w:p>
      <w:pPr>
        <w:spacing w:after="60"/>
        <w:ind w:firstLine="567"/>
        <w:jc w:val="both"/>
      </w:pPr>
      <w:r>
        <w:rPr>
          <w:rFonts w:ascii="Arial" w:cs="Arial" w:eastAsia="Arial" w:hAnsi="Arial"/>
          <w:sz w:val="24"/>
          <w:szCs w:val="24"/>
        </w:rPr>
        <w:t xml:space="preserve">Требования к оборудованию, помещениям, персоналу устанавливаются соответствующими стандартами.</w:t>
      </w:r>
    </w:p>
    <w:p>
      <w:pPr>
        <w:spacing w:after="60"/>
        <w:ind w:firstLine="567"/>
        <w:jc w:val="both"/>
      </w:pPr>
      <w:r>
        <w:rPr>
          <w:rFonts w:ascii="Arial" w:cs="Arial" w:eastAsia="Arial" w:hAnsi="Arial"/>
          <w:sz w:val="24"/>
          <w:szCs w:val="24"/>
        </w:rPr>
        <w:t xml:space="preserve">6. Метрологическая служба должна ежегодно представлять информацию о своей деятельности в государственный орган по обеспечению единства измерений и национальный орган по метрологии.</w:t>
      </w:r>
    </w:p>
    <w:p>
      <w:pPr>
        <w:spacing w:after="60"/>
        <w:ind w:firstLine="567"/>
        <w:jc w:val="both"/>
      </w:pPr>
      <w:r>
        <w:rPr>
          <w:rFonts w:ascii="Arial" w:cs="Arial" w:eastAsia="Arial" w:hAnsi="Arial"/>
          <w:sz w:val="24"/>
          <w:szCs w:val="24"/>
        </w:rPr>
        <w:t xml:space="preserve">7. Ответственность за надлежащее выполнение работ и соблюдение требований норм </w:t>
      </w:r>
      <w:hyperlink w:history="1" r:id="rIdko1g9yr5ui7emovkcryn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обеспечении единства измерений" возлагается на руководителя юридического лица.</w:t>
      </w:r>
    </w:p>
    <w:p>
      <w:pPr>
        <w:spacing w:after="200" w:before="200"/>
        <w:jc w:val="center"/>
      </w:pPr>
      <w:r>
        <w:rPr>
          <w:rFonts w:ascii="Arial" w:cs="Arial" w:eastAsia="Arial" w:hAnsi="Arial"/>
          <w:b/>
          <w:bCs/>
          <w:sz w:val="24"/>
          <w:szCs w:val="24"/>
        </w:rPr>
        <w:t xml:space="preserve">3. Предоставление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8. Метрологическая служба представляет в государственный орган по обеспечению единства измерений следующие документы:</w:t>
      </w:r>
    </w:p>
    <w:p>
      <w:pPr>
        <w:spacing w:after="60"/>
        <w:ind w:firstLine="567"/>
        <w:jc w:val="both"/>
      </w:pPr>
      <w:r>
        <w:rPr>
          <w:rFonts w:ascii="Arial" w:cs="Arial" w:eastAsia="Arial" w:hAnsi="Arial"/>
          <w:sz w:val="24"/>
          <w:szCs w:val="24"/>
        </w:rPr>
        <w:t xml:space="preserve">1) заявка по форме согласно </w:t>
      </w:r>
      <w:hyperlink w:history="1" r:id="rIdpiyrhgntjmgoerdpoh1h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информация о виде деятельности метрологической службы, осуществляющей испытания средств измерений с целью утверждения типа и (или) поверку средств измерений, по форме согласно </w:t>
      </w:r>
      <w:hyperlink w:history="1" r:id="rIddrbxwiuwywnjcdy3nbw_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информация о виде деятельности метрологической службы, осуществляющей аттестацию стандартных образцов, с целью утверждения типа, по форме согласно </w:t>
      </w:r>
      <w:hyperlink w:history="1" r:id="rIdprpcok86vkhftj2rky4e3">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 сведения о метрологической службе по форме согласно </w:t>
      </w:r>
      <w:hyperlink w:history="1" r:id="rIdufk-eplgygfpu1928mhih">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Для принятия решения о предоставлении права на проведение испытаний средств измерений и (или) аттестации стандартных образцов с целью утверждения типа и (или) поверки средств измерений государственным органом по обеспечению единства измерений формируется экспертная комиссия. Состав экспертной комиссии утверждается приказом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10. В состав экспертной комиссии включаются представители государственного органа по обеспечению единства измерений, уполномоченного органа по проведению метрологического надзора, национального органа по метрологии, технические эксперты по видам измерений в заявленной области деятельности. Председатель комиссии назначается из числа должностных лиц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11. Государственный орган по обеспечению единства измерений вносит представленные метрологической службой документы на экспертизу в национальный орган по метрологии.</w:t>
      </w:r>
    </w:p>
    <w:p>
      <w:pPr>
        <w:spacing w:after="60"/>
        <w:ind w:firstLine="567"/>
        <w:jc w:val="both"/>
      </w:pPr>
      <w:r>
        <w:rPr>
          <w:rFonts w:ascii="Arial" w:cs="Arial" w:eastAsia="Arial" w:hAnsi="Arial"/>
          <w:sz w:val="24"/>
          <w:szCs w:val="24"/>
        </w:rPr>
        <w:t xml:space="preserve">12. Национальный орган по метрологии проводит экспертизу представленных документов, определяет правильность и полноту оформления документов. По результатам экспертизы оформляет заключение по форме согласно</w:t>
      </w:r>
      <w:hyperlink w:history="1" r:id="rIdv9npcktuc0kfozbe9wcfb">
        <w:r>
          <w:rPr>
            <w:rFonts w:ascii="Arial" w:cs="Arial" w:eastAsia="Arial" w:hAnsi="Arial"/>
            <w:color w:val="1D4ED8"/>
            <w:sz w:val="24"/>
            <w:szCs w:val="24"/>
            <w:u w:val="single"/>
          </w:rPr>
          <w:t xml:space="preserve"> 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13. В случае неудовлетворительных результатов экспертизы, документы возвращаются на доработку метрологической службе.</w:t>
      </w:r>
    </w:p>
    <w:p>
      <w:pPr>
        <w:spacing w:after="60"/>
        <w:ind w:firstLine="567"/>
        <w:jc w:val="both"/>
      </w:pPr>
      <w:r>
        <w:rPr>
          <w:rFonts w:ascii="Arial" w:cs="Arial" w:eastAsia="Arial" w:hAnsi="Arial"/>
          <w:sz w:val="24"/>
          <w:szCs w:val="24"/>
        </w:rPr>
        <w:t xml:space="preserve">14. К основным критериям, по которым результат экспертизы признается неудовлетворительным, относятся:</w:t>
      </w:r>
    </w:p>
    <w:p>
      <w:pPr>
        <w:spacing w:after="60"/>
        <w:ind w:firstLine="567"/>
        <w:jc w:val="both"/>
      </w:pPr>
      <w:r>
        <w:rPr>
          <w:rFonts w:ascii="Arial" w:cs="Arial" w:eastAsia="Arial" w:hAnsi="Arial"/>
          <w:sz w:val="24"/>
          <w:szCs w:val="24"/>
        </w:rPr>
        <w:t xml:space="preserve">1) неполное описание процедуры анализа заявок на выполнение работ, включая анализ возможностей и ресурсов метрологической службы;</w:t>
      </w:r>
    </w:p>
    <w:p>
      <w:pPr>
        <w:spacing w:after="60"/>
        <w:ind w:firstLine="567"/>
        <w:jc w:val="both"/>
      </w:pPr>
      <w:r>
        <w:rPr>
          <w:rFonts w:ascii="Arial" w:cs="Arial" w:eastAsia="Arial" w:hAnsi="Arial"/>
          <w:sz w:val="24"/>
          <w:szCs w:val="24"/>
        </w:rPr>
        <w:t xml:space="preserve">2) неполное описание организационной и управленческой структуры метрологической службы;</w:t>
      </w:r>
    </w:p>
    <w:p>
      <w:pPr>
        <w:spacing w:after="60"/>
        <w:ind w:firstLine="567"/>
        <w:jc w:val="both"/>
      </w:pPr>
      <w:r>
        <w:rPr>
          <w:rFonts w:ascii="Arial" w:cs="Arial" w:eastAsia="Arial" w:hAnsi="Arial"/>
          <w:sz w:val="24"/>
          <w:szCs w:val="24"/>
        </w:rPr>
        <w:t xml:space="preserve">3) неполное изложение методов работы;</w:t>
      </w:r>
    </w:p>
    <w:p>
      <w:pPr>
        <w:spacing w:after="60"/>
        <w:ind w:firstLine="567"/>
        <w:jc w:val="both"/>
      </w:pPr>
      <w:r>
        <w:rPr>
          <w:rFonts w:ascii="Arial" w:cs="Arial" w:eastAsia="Arial" w:hAnsi="Arial"/>
          <w:sz w:val="24"/>
          <w:szCs w:val="24"/>
        </w:rPr>
        <w:t xml:space="preserve">4) проведение ремонтных работ средств измерений;</w:t>
      </w:r>
    </w:p>
    <w:p>
      <w:pPr>
        <w:spacing w:after="60"/>
        <w:ind w:firstLine="567"/>
        <w:jc w:val="both"/>
      </w:pPr>
      <w:r>
        <w:rPr>
          <w:rFonts w:ascii="Arial" w:cs="Arial" w:eastAsia="Arial" w:hAnsi="Arial"/>
          <w:sz w:val="24"/>
          <w:szCs w:val="24"/>
        </w:rPr>
        <w:t xml:space="preserve">5) наличие организационного конфликта интересов.</w:t>
      </w:r>
    </w:p>
    <w:p>
      <w:pPr>
        <w:spacing w:after="60"/>
        <w:ind w:firstLine="567"/>
        <w:jc w:val="both"/>
      </w:pPr>
      <w:r>
        <w:rPr>
          <w:rFonts w:ascii="Arial" w:cs="Arial" w:eastAsia="Arial" w:hAnsi="Arial"/>
          <w:sz w:val="24"/>
          <w:szCs w:val="24"/>
        </w:rPr>
        <w:t xml:space="preserve">Организационный конфликт интересов возникает в случае, когда метрологическая служба предоставляет услуги заказчику и в силу иных видов деятельности или взаимоотношений эта организация не в состоянии оказывать услуги беспристрастно, ее объективность при выполнении возложенных на нее функций нарушается или может быть нарушена либо у этой организации появляются слишком большие конкурентные преимущества.</w:t>
      </w:r>
    </w:p>
    <w:p>
      <w:pPr>
        <w:spacing w:after="60"/>
        <w:ind w:firstLine="567"/>
        <w:jc w:val="both"/>
      </w:pPr>
      <w:r>
        <w:rPr>
          <w:rFonts w:ascii="Arial" w:cs="Arial" w:eastAsia="Arial" w:hAnsi="Arial"/>
          <w:sz w:val="24"/>
          <w:szCs w:val="24"/>
        </w:rPr>
        <w:t xml:space="preserve">15. Срок рассмотрения документов и проведения экспертизы национальным органом по метрологии составляет не более 10 рабочих дней со дня получения документов.</w:t>
      </w:r>
    </w:p>
    <w:p>
      <w:pPr>
        <w:spacing w:after="60"/>
        <w:ind w:firstLine="567"/>
        <w:jc w:val="both"/>
      </w:pPr>
      <w:r>
        <w:rPr>
          <w:rFonts w:ascii="Arial" w:cs="Arial" w:eastAsia="Arial" w:hAnsi="Arial"/>
          <w:sz w:val="24"/>
          <w:szCs w:val="24"/>
        </w:rPr>
        <w:t xml:space="preserve">16. Заключение национального органа по метрологии направляется в экспертную комиссию.</w:t>
      </w:r>
    </w:p>
    <w:p>
      <w:pPr>
        <w:spacing w:after="60"/>
        <w:ind w:firstLine="567"/>
        <w:jc w:val="both"/>
      </w:pPr>
      <w:r>
        <w:rPr>
          <w:rFonts w:ascii="Arial" w:cs="Arial" w:eastAsia="Arial" w:hAnsi="Arial"/>
          <w:sz w:val="24"/>
          <w:szCs w:val="24"/>
        </w:rPr>
        <w:t xml:space="preserve">17. По результатам заключения экспертная комиссия проводит проверку метрологической службы на месте.</w:t>
      </w:r>
    </w:p>
    <w:p>
      <w:pPr>
        <w:spacing w:after="60"/>
        <w:ind w:firstLine="567"/>
        <w:jc w:val="both"/>
      </w:pPr>
      <w:r>
        <w:rPr>
          <w:rFonts w:ascii="Arial" w:cs="Arial" w:eastAsia="Arial" w:hAnsi="Arial"/>
          <w:sz w:val="24"/>
          <w:szCs w:val="24"/>
        </w:rPr>
        <w:t xml:space="preserve">18. Экспертная комиссия непосредственно в метрологической службе оценивает:</w:t>
      </w:r>
    </w:p>
    <w:p>
      <w:pPr>
        <w:spacing w:after="60"/>
        <w:ind w:firstLine="567"/>
        <w:jc w:val="both"/>
      </w:pPr>
      <w:r>
        <w:rPr>
          <w:rFonts w:ascii="Arial" w:cs="Arial" w:eastAsia="Arial" w:hAnsi="Arial"/>
          <w:sz w:val="24"/>
          <w:szCs w:val="24"/>
        </w:rPr>
        <w:t xml:space="preserve">1) техническое оснащение (оборудование, средства измерений);</w:t>
      </w:r>
    </w:p>
    <w:p>
      <w:pPr>
        <w:spacing w:after="60"/>
        <w:ind w:firstLine="567"/>
        <w:jc w:val="both"/>
      </w:pPr>
      <w:r>
        <w:rPr>
          <w:rFonts w:ascii="Arial" w:cs="Arial" w:eastAsia="Arial" w:hAnsi="Arial"/>
          <w:sz w:val="24"/>
          <w:szCs w:val="24"/>
        </w:rPr>
        <w:t xml:space="preserve">2) наличие помещений и соответствующих условий (температура, давление, влажность и т.п.);</w:t>
      </w:r>
    </w:p>
    <w:p>
      <w:pPr>
        <w:spacing w:after="60"/>
        <w:ind w:firstLine="567"/>
        <w:jc w:val="both"/>
      </w:pPr>
      <w:r>
        <w:rPr>
          <w:rFonts w:ascii="Arial" w:cs="Arial" w:eastAsia="Arial" w:hAnsi="Arial"/>
          <w:sz w:val="24"/>
          <w:szCs w:val="24"/>
        </w:rPr>
        <w:t xml:space="preserve">3) обеспечение прослеживаемости эталонов и средств измерений, применяемых для проведения испытаний (свидетельство о поверке/калибровке);</w:t>
      </w:r>
    </w:p>
    <w:p>
      <w:pPr>
        <w:spacing w:after="60"/>
        <w:ind w:firstLine="567"/>
        <w:jc w:val="both"/>
      </w:pPr>
      <w:r>
        <w:rPr>
          <w:rFonts w:ascii="Arial" w:cs="Arial" w:eastAsia="Arial" w:hAnsi="Arial"/>
          <w:sz w:val="24"/>
          <w:szCs w:val="24"/>
        </w:rPr>
        <w:t xml:space="preserve">4) квалификацию персонала (опыт работы, наличие удостоверения поверителя средств измерений в заявленной области).</w:t>
      </w:r>
    </w:p>
    <w:p>
      <w:pPr>
        <w:spacing w:after="60"/>
        <w:ind w:firstLine="567"/>
        <w:jc w:val="both"/>
      </w:pPr>
      <w:r>
        <w:rPr>
          <w:rFonts w:ascii="Arial" w:cs="Arial" w:eastAsia="Arial" w:hAnsi="Arial"/>
          <w:sz w:val="24"/>
          <w:szCs w:val="24"/>
        </w:rPr>
        <w:t xml:space="preserve">19. Экспертной комиссией организуются сличение и/или поверка средств измерений.</w:t>
      </w:r>
    </w:p>
    <w:p>
      <w:pPr>
        <w:spacing w:after="60"/>
        <w:ind w:firstLine="567"/>
        <w:jc w:val="both"/>
      </w:pPr>
      <w:r>
        <w:rPr>
          <w:rFonts w:ascii="Arial" w:cs="Arial" w:eastAsia="Arial" w:hAnsi="Arial"/>
          <w:sz w:val="24"/>
          <w:szCs w:val="24"/>
        </w:rPr>
        <w:t xml:space="preserve">20. По результатам проверки метрологической службы экспертная комиссия оформляет акт по форме согласно </w:t>
      </w:r>
      <w:hyperlink w:history="1" r:id="rIdory5ih4oylj5uskthiaep">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21. Заключение о предоставлении права на проведение испытаний средств измерений и (или) аттестации стандартных образцов с целью утверждения типа и (или) поверки средств измерений принимается экспертной комиссией на основании акта, сроком на 2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vzea0bz7oks_gowydad-">
        <w:r>
          <w:rPr>
            <w:rFonts w:ascii="Arial" w:cs="Arial" w:eastAsia="Arial" w:hAnsi="Arial"/>
            <w:color w:val="1D4ED8"/>
            <w:sz w:val="24"/>
            <w:szCs w:val="24"/>
            <w:u w:val="single"/>
          </w:rPr>
          <w:t xml:space="preserve">4 ноября 2022 года № 613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Заключение экспертной комиссии оформляется решением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23. В случае отрицательных результатов проверки, экспертная комиссия в течение 7 рабочих дней информирует метрологическую службу об отказе в предоставлении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24. Срок рассмотрения документов, проведения экспертизы и обследования метрологической службы на месте, с вынесением решения экспертной комиссией составляет не более 50 рабочих дней со дня получения заключения национального органа по метрологии.</w:t>
      </w:r>
    </w:p>
    <w:p>
      <w:pPr>
        <w:spacing w:after="200" w:before="200"/>
        <w:jc w:val="center"/>
      </w:pPr>
      <w:r>
        <w:rPr>
          <w:rFonts w:ascii="Arial" w:cs="Arial" w:eastAsia="Arial" w:hAnsi="Arial"/>
          <w:b/>
          <w:bCs/>
          <w:sz w:val="24"/>
          <w:szCs w:val="24"/>
        </w:rPr>
        <w:t xml:space="preserve">4. Продление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25. Метрологическая служба представляет в государственный орган по обеспечению единства измерений следующие документы:</w:t>
      </w:r>
    </w:p>
    <w:p>
      <w:pPr>
        <w:spacing w:after="60"/>
        <w:ind w:firstLine="567"/>
        <w:jc w:val="both"/>
      </w:pPr>
      <w:r>
        <w:rPr>
          <w:rFonts w:ascii="Arial" w:cs="Arial" w:eastAsia="Arial" w:hAnsi="Arial"/>
          <w:sz w:val="24"/>
          <w:szCs w:val="24"/>
        </w:rPr>
        <w:t xml:space="preserve">1) заявка по форме согласно </w:t>
      </w:r>
      <w:hyperlink w:history="1" r:id="rIdiw2jug1b1ojs0ngoiapk6">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информация о виде деятельности метрологической службы, осуществляющей испытания средств измерений с целью утверждения типа и (или) поверку средств измерений, по форме согласно </w:t>
      </w:r>
      <w:hyperlink w:history="1" r:id="rIdsbwqp5xu59tcg46kk4hw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информация о виде деятельности метрологической службы, осуществляющей аттестацию стандартных образцов с целью утверждения типа, по форме согласно </w:t>
      </w:r>
      <w:hyperlink w:history="1" r:id="rIdoq475wag_xdnk7_w0b2v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 аттестат аккредитации в заявленной области деятельности.</w:t>
      </w:r>
    </w:p>
    <w:p>
      <w:pPr>
        <w:spacing w:after="60"/>
        <w:ind w:firstLine="567"/>
        <w:jc w:val="both"/>
      </w:pPr>
      <w:r>
        <w:rPr>
          <w:rFonts w:ascii="Arial" w:cs="Arial" w:eastAsia="Arial" w:hAnsi="Arial"/>
          <w:sz w:val="24"/>
          <w:szCs w:val="24"/>
        </w:rPr>
        <w:t xml:space="preserve">26. Для принятия решения о продлении права на проведение испытаний средств измерений и (или) аттестации стандартных образцов с целью утверждения типа и (или) поверки средств измерений государственным органом по обеспечению единства измерений формируется экспертная комиссия. Состав экспертной комиссии утверждается приказом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27. В состав экспертной комиссии включаются представители государственного органа по обеспечению единства измерений, уполномоченного органа по проведению метрологического надзора, национального органа по метрологии. Председатель комиссии назначается из числа должностных лиц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28. Срок рассмотрения документов экспертной комиссией составляет не более 20 рабочих дней со дня получения документов.</w:t>
      </w:r>
    </w:p>
    <w:p>
      <w:pPr>
        <w:spacing w:after="60"/>
        <w:ind w:firstLine="567"/>
        <w:jc w:val="both"/>
      </w:pPr>
      <w:r>
        <w:rPr>
          <w:rFonts w:ascii="Arial" w:cs="Arial" w:eastAsia="Arial" w:hAnsi="Arial"/>
          <w:sz w:val="24"/>
          <w:szCs w:val="24"/>
        </w:rPr>
        <w:t xml:space="preserve">29. На основании представленных документов экспертная комиссия принимает решение о продлении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30. Заключение экспертной комиссии оформляется решением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31. Продление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 осуществляется сроком на 4 года.</w:t>
      </w:r>
    </w:p>
    <w:p>
      <w:pPr>
        <w:spacing w:after="60"/>
        <w:ind w:firstLine="567"/>
        <w:jc w:val="both"/>
      </w:pPr>
      <w:r>
        <w:rPr>
          <w:rFonts w:ascii="Arial" w:cs="Arial" w:eastAsia="Arial" w:hAnsi="Arial"/>
          <w:sz w:val="24"/>
          <w:szCs w:val="24"/>
        </w:rPr>
        <w:t xml:space="preserve">32. Метрологическая служба, которой продлено право на проведение испытаний средств измерений и (или) аттестации стандартных образцов с целью утверждения типа и (или) поверки средств измерений, должна ежегодно представлять в государственный орган по обеспечению единства измерений результаты инспекционного контроля, проведенного национальным органом по аккредитации.</w:t>
      </w:r>
    </w:p>
    <w:p>
      <w:pPr>
        <w:spacing w:after="200" w:before="200"/>
        <w:jc w:val="center"/>
      </w:pPr>
      <w:r>
        <w:rPr>
          <w:rFonts w:ascii="Arial" w:cs="Arial" w:eastAsia="Arial" w:hAnsi="Arial"/>
          <w:b/>
          <w:bCs/>
          <w:sz w:val="24"/>
          <w:szCs w:val="24"/>
        </w:rPr>
        <w:t xml:space="preserve">5. Отзыв у метрологической службы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33. Отзыв у метрологической службы права на проведение испытаний средств измерений и (или) аттестации стандартных образцов с целью утверждения типа и (или) поверки средств измерений осуществляется в следующих случаях:</w:t>
      </w:r>
    </w:p>
    <w:p>
      <w:pPr>
        <w:spacing w:after="60"/>
        <w:ind w:firstLine="567"/>
        <w:jc w:val="both"/>
      </w:pPr>
      <w:r>
        <w:rPr>
          <w:rFonts w:ascii="Arial" w:cs="Arial" w:eastAsia="Arial" w:hAnsi="Arial"/>
          <w:sz w:val="24"/>
          <w:szCs w:val="24"/>
        </w:rPr>
        <w:t xml:space="preserve">1) непредставление ежегодной информации о своей деятельности;</w:t>
      </w:r>
    </w:p>
    <w:p>
      <w:pPr>
        <w:spacing w:after="60"/>
        <w:ind w:firstLine="567"/>
        <w:jc w:val="both"/>
      </w:pPr>
      <w:r>
        <w:rPr>
          <w:rFonts w:ascii="Arial" w:cs="Arial" w:eastAsia="Arial" w:hAnsi="Arial"/>
          <w:sz w:val="24"/>
          <w:szCs w:val="24"/>
        </w:rPr>
        <w:t xml:space="preserve">2) отмена действия аттестата аккредитации метрологической службы;</w:t>
      </w:r>
    </w:p>
    <w:p>
      <w:pPr>
        <w:spacing w:after="60"/>
        <w:ind w:firstLine="567"/>
        <w:jc w:val="both"/>
      </w:pPr>
      <w:r>
        <w:rPr>
          <w:rFonts w:ascii="Arial" w:cs="Arial" w:eastAsia="Arial" w:hAnsi="Arial"/>
          <w:sz w:val="24"/>
          <w:szCs w:val="24"/>
        </w:rPr>
        <w:t xml:space="preserve">3) отсутствие прослеживаемости используемых эталонов и средств измерений;</w:t>
      </w:r>
    </w:p>
    <w:p>
      <w:pPr>
        <w:spacing w:after="60"/>
        <w:ind w:firstLine="567"/>
        <w:jc w:val="both"/>
      </w:pPr>
      <w:r>
        <w:rPr>
          <w:rFonts w:ascii="Arial" w:cs="Arial" w:eastAsia="Arial" w:hAnsi="Arial"/>
          <w:sz w:val="24"/>
          <w:szCs w:val="24"/>
        </w:rPr>
        <w:t xml:space="preserve">4) приобретение эталона национальным органом по метрологии для проведения испытаний с целью утверждения типа и (или) поверки средств измерений в соответствующей области, на которые была уполномочена метрологическая служба.</w:t>
      </w:r>
    </w:p>
    <w:p>
      <w:pPr>
        <w:spacing w:after="60"/>
        <w:ind w:firstLine="567"/>
        <w:jc w:val="both"/>
      </w:pPr>
      <w:r>
        <w:rPr>
          <w:rFonts w:ascii="Arial" w:cs="Arial" w:eastAsia="Arial" w:hAnsi="Arial"/>
          <w:sz w:val="24"/>
          <w:szCs w:val="24"/>
        </w:rPr>
        <w:t xml:space="preserve">34. Заключение об отзыве права на проведение испытаний средств измерений и (или) аттестации стандартных образцов с целью утверждения типа и (или) поверки средств измерений принимается экспертной комиссией, которой было предоставлено право метрологической службе на проведение или продление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35. Заключение экспертной комиссии оформляется решением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36. Государственный орган по обеспечению единства измерений в течение 10 рабочих дней направляет в метрологическую службу информацию о принятом решении.</w:t>
      </w:r>
    </w:p>
    <w:p>
      <w:pPr>
        <w:spacing w:after="60"/>
        <w:ind w:firstLine="567"/>
        <w:jc w:val="both"/>
      </w:pPr>
      <w:r>
        <w:rPr>
          <w:rFonts w:ascii="Arial" w:cs="Arial" w:eastAsia="Arial" w:hAnsi="Arial"/>
          <w:sz w:val="24"/>
          <w:szCs w:val="24"/>
        </w:rPr>
        <w:t xml:space="preserve">37. Обжалование решения государственного органа по обеспечению единства измерений осуществляется в административном (досудебном) порядке, установленном </w:t>
      </w:r>
      <w:hyperlink w:history="1" r:id="rIdftnhsntmmxjrzuojm4yk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В случае несогласия заявителя с решением аттестационной комиссии государственного органа по обеспечению единства измерений по административной жалобе, он имеет право обратиться в суд.</w:t>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w:t>
      </w:r>
    </w:p>
    <w:p>
      <w:pPr>
        <w:spacing w:after="120"/>
        <w:jc w:val="both"/>
      </w:pPr>
      <w:r>
        <w:rPr>
          <w:rFonts w:ascii="Arial" w:cs="Arial" w:eastAsia="Arial" w:hAnsi="Arial"/>
          <w:sz w:val="24"/>
          <w:szCs w:val="24"/>
        </w:rPr>
        <w:t xml:space="preserve">Просим предоставить право</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__________________________________________________________________
                                вид(ы) деятельности, заявленный в области права</w:t>
      </w:r>
    </w:p>
    <w:p>
      <w:pPr>
        <w:spacing w:after="120"/>
        <w:jc w:val="left"/>
      </w:pPr>
      <w:r>
        <w:rPr>
          <w:rFonts w:ascii="Arial" w:cs="Arial" w:eastAsia="Arial" w:hAnsi="Arial"/>
          <w:sz w:val="24"/>
          <w:szCs w:val="24"/>
        </w:rPr>
        <w:t xml:space="preserve">ФИО руководителя _________________________________________________</w:t>
      </w:r>
    </w:p>
    <w:p>
      <w:pPr>
        <w:spacing w:after="120"/>
        <w:jc w:val="left"/>
      </w:pPr>
      <w:r>
        <w:rPr>
          <w:rFonts w:ascii="Arial" w:cs="Arial" w:eastAsia="Arial" w:hAnsi="Arial"/>
          <w:sz w:val="24"/>
          <w:szCs w:val="24"/>
        </w:rPr>
        <w:t xml:space="preserve">Адрес, телефон ____________________________________________________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паспорт, информация о виде деятельности и сведения о метрологической службе.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
                        ФИО</w:t>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 виде деятельности</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на право __________________________________________________________
                                                         вид(ы) деятельности</w:t>
      </w:r>
    </w:p>
    <w:p>
      <w:pPr>
        <w:spacing w:after="120"/>
        <w:jc w:val="left"/>
      </w:pPr>
      <w:r>
        <w:rPr>
          <w:rFonts w:ascii="Arial" w:cs="Arial" w:eastAsia="Arial" w:hAnsi="Arial"/>
          <w:sz w:val="24"/>
          <w:szCs w:val="24"/>
        </w:rPr>
        <w:t xml:space="preserve">ФИО руководителя _________________________________________________</w:t>
      </w:r>
    </w:p>
    <w:p>
      <w:pPr>
        <w:spacing w:after="120"/>
        <w:jc w:val="left"/>
      </w:pPr>
      <w:r>
        <w:rPr>
          <w:rFonts w:ascii="Arial" w:cs="Arial" w:eastAsia="Arial" w:hAnsi="Arial"/>
          <w:sz w:val="24"/>
          <w:szCs w:val="24"/>
        </w:rPr>
        <w:t xml:space="preserve">Адрес, телефон 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301"/>
        <w:gridCol w:w="1653"/>
        <w:gridCol w:w="1870"/>
        <w:gridCol w:w="1870"/>
        <w:gridCol w:w="3157"/>
      </w:tblGrid>
      <w:tr>
        <w:tc>
          <w:tcPr>
            <w:tcW w:type="dxa" w:w="3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Измеряемая величина</w:t>
            </w:r>
          </w:p>
        </w:tc>
        <w:tc>
          <w:tcPr>
            <w:tcW w:type="dxa" w:w="1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поверяемых/
 испытуемых средств измерений</w:t>
            </w:r>
          </w:p>
        </w:tc>
        <w:tc>
          <w:tcPr>
            <w:tcW w:type="dxa" w:w="37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Метрологические характеристики.
 Наименование нормативных документов на методы испытаний и(или) поверку средств измерений</w:t>
            </w:r>
          </w:p>
        </w:tc>
        <w:tc>
          <w:tcPr>
            <w:tcW w:type="dxa" w:w="31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нормативных документов на методы испытаний и(или) поверку средств измерений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измерений</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точности (КТ), погрешность (ПГ)</w:t>
            </w:r>
          </w:p>
        </w:tc>
        <w:tc>
          <w:tcPr>
            <w:vMerge w:val="continue"/>
            <w:tcBorders>
              <w:top w:val="single" w:color="CBBF9E" w:sz="4"/>
              <w:left w:val="none" w:color="auto" w:sz="0"/>
              <w:bottom w:val="single" w:color="CBBF9E" w:sz="4"/>
              <w:right w:val="single" w:color="CBBF9E" w:sz="4"/>
            </w:tcBorders>
          </w:tcP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вид измерений определяется по кодификатору групп средств измерений.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 виде деятельности</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на право аттестации стандартных образцов с целью утверждения типа.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3436"/>
        <w:gridCol w:w="2667"/>
        <w:gridCol w:w="2681"/>
        <w:gridCol w:w="1067"/>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стандартных образцов:
 стандартные образцы состава/стандартные образцы свойств</w:t>
            </w:r>
          </w:p>
        </w:tc>
        <w:tc>
          <w:tcPr>
            <w:tcW w:type="dxa" w:w="2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категории количества вещества/вида измерений</w:t>
            </w:r>
          </w:p>
        </w:tc>
        <w:tc>
          <w:tcPr>
            <w:tcW w:type="dxa" w:w="2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количества вещества/вида измерений</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метрологической службе</w:t>
      </w:r>
    </w:p>
    <w:p>
      <w:pPr>
        <w:spacing w:after="200" w:before="200"/>
        <w:jc w:val="center"/>
      </w:pPr>
      <w:r>
        <w:rPr>
          <w:rFonts w:ascii="Arial" w:cs="Arial" w:eastAsia="Arial" w:hAnsi="Arial"/>
          <w:b/>
          <w:bCs/>
          <w:sz w:val="32"/>
          <w:szCs w:val="32"/>
        </w:rPr>
        <w:t xml:space="preserve">1. Информационные данные</w:t>
      </w:r>
    </w:p>
    <w:p>
      <w:pPr>
        <w:spacing w:after="120"/>
        <w:jc w:val="left"/>
      </w:pPr>
      <w:r>
        <w:rPr>
          <w:rFonts w:ascii="Arial" w:cs="Arial" w:eastAsia="Arial" w:hAnsi="Arial"/>
          <w:sz w:val="24"/>
          <w:szCs w:val="24"/>
        </w:rPr>
        <w:t xml:space="preserve">Наименование и адрес юридического лица, в составе которого функционирует метрологическая служба _____________________________________________</w:t>
      </w:r>
    </w:p>
    <w:p>
      <w:pPr>
        <w:spacing w:after="120"/>
        <w:jc w:val="left"/>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_____________________</w:t>
      </w:r>
    </w:p>
    <w:p>
      <w:pPr>
        <w:spacing w:after="120"/>
        <w:jc w:val="left"/>
      </w:pPr>
      <w:r>
        <w:rPr>
          <w:rFonts w:ascii="Arial" w:cs="Arial" w:eastAsia="Arial" w:hAnsi="Arial"/>
          <w:sz w:val="24"/>
          <w:szCs w:val="24"/>
        </w:rPr>
        <w:t xml:space="preserve">Телефон, факс, </w:t>
      </w:r>
      <w:r>
        <w:rPr>
          <w:rFonts w:ascii="Arial" w:cs="Arial" w:eastAsia="Arial" w:hAnsi="Arial"/>
          <w:sz w:val="24"/>
          <w:szCs w:val="24"/>
        </w:rPr>
        <w:t xml:space="preserve">e-mail </w:t>
      </w:r>
      <w:r>
        <w:rPr>
          <w:rFonts w:ascii="Arial" w:cs="Arial" w:eastAsia="Arial" w:hAnsi="Arial"/>
          <w:sz w:val="24"/>
          <w:szCs w:val="24"/>
        </w:rPr>
        <w:t xml:space="preserve">_____________________</w:t>
      </w:r>
      <w:r>
        <w:rPr>
          <w:rFonts w:ascii="Arial" w:cs="Arial" w:eastAsia="Arial" w:hAnsi="Arial"/>
          <w:sz w:val="24"/>
          <w:szCs w:val="24"/>
        </w:rPr>
        <w:t xml:space="preserve">_</w:t>
      </w:r>
      <w:r>
        <w:rPr>
          <w:rFonts w:ascii="Arial" w:cs="Arial" w:eastAsia="Arial" w:hAnsi="Arial"/>
          <w:sz w:val="24"/>
          <w:szCs w:val="24"/>
        </w:rPr>
        <w:t xml:space="preserve">__________________________</w:t>
      </w:r>
    </w:p>
    <w:p>
      <w:pPr>
        <w:spacing w:after="120"/>
        <w:jc w:val="left"/>
      </w:pPr>
      <w:r>
        <w:rPr>
          <w:rFonts w:ascii="Arial" w:cs="Arial" w:eastAsia="Arial" w:hAnsi="Arial"/>
          <w:sz w:val="24"/>
          <w:szCs w:val="24"/>
        </w:rPr>
        <w:t xml:space="preserve">ФИО руководителя 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_________________</w:t>
      </w:r>
    </w:p>
    <w:p>
      <w:pPr>
        <w:spacing w:after="200" w:before="200"/>
        <w:jc w:val="center"/>
      </w:pPr>
      <w:r>
        <w:rPr>
          <w:rFonts w:ascii="Arial" w:cs="Arial" w:eastAsia="Arial" w:hAnsi="Arial"/>
          <w:b/>
          <w:bCs/>
          <w:sz w:val="32"/>
          <w:szCs w:val="32"/>
        </w:rPr>
        <w:t xml:space="preserve">2. Оснащенность эталонами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148"/>
        <w:gridCol w:w="1148"/>
        <w:gridCol w:w="1121"/>
        <w:gridCol w:w="1121"/>
        <w:gridCol w:w="1121"/>
        <w:gridCol w:w="1081"/>
        <w:gridCol w:w="1972"/>
        <w:gridCol w:w="1164"/>
      </w:tblGrid>
      <w:tr>
        <w:tc>
          <w:tcPr>
            <w:tcW w:type="dxa" w:w="3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эталонов, тип</w:t>
            </w:r>
          </w:p>
        </w:tc>
        <w:tc>
          <w:tcPr>
            <w:tcW w:type="dxa" w:w="1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предприятия-изготовителя, заводской номер</w:t>
            </w:r>
          </w:p>
        </w:tc>
        <w:tc>
          <w:tcPr>
            <w:tcW w:type="dxa" w:w="33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Метрологическая характеристика</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 нормативных документов на поверочную схему</w:t>
            </w:r>
          </w:p>
        </w:tc>
        <w:tc>
          <w:tcPr>
            <w:tcW w:type="dxa" w:w="19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документа о поверке/калибровке эталона с расчетом неопределенности измерений, организация/лаборатория, проводившая калибровку эталона, прослеживаемость измерений до Международной системы СИ. Дата и номер документа об исследовании стабильности работы оборудования, кем выдан, срок его действия
 (где приемлемо)</w:t>
            </w:r>
          </w:p>
        </w:tc>
        <w:tc>
          <w:tcPr>
            <w:tcW w:type="dxa" w:w="11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свидетельства о поверке, срок его действия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измерений</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точности (КТ), погрешность (ПГ), разряд (Р)</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Неопределенность измерений
 (при наличии данных)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200" w:before="200"/>
        <w:jc w:val="center"/>
      </w:pPr>
      <w:r>
        <w:rPr>
          <w:rFonts w:ascii="Arial" w:cs="Arial" w:eastAsia="Arial" w:hAnsi="Arial"/>
          <w:b/>
          <w:bCs/>
          <w:sz w:val="24"/>
          <w:szCs w:val="24"/>
        </w:rPr>
        <w:t xml:space="preserve">3. </w:t>
      </w:r>
      <w:r>
        <w:rPr>
          <w:rFonts w:ascii="Arial" w:cs="Arial" w:eastAsia="Arial" w:hAnsi="Arial"/>
          <w:b/>
          <w:bCs/>
          <w:sz w:val="24"/>
          <w:szCs w:val="24"/>
        </w:rPr>
        <w:t xml:space="preserve">Оснащенность испытательным и вспомогательным оборудованием
 (при аттестации стандартных образцов с целью утверждения типа)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071"/>
        <w:gridCol w:w="1217"/>
        <w:gridCol w:w="1445"/>
        <w:gridCol w:w="1174"/>
        <w:gridCol w:w="1382"/>
        <w:gridCol w:w="1146"/>
        <w:gridCol w:w="1453"/>
        <w:gridCol w:w="98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стандартных образцов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стандартных образцов</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испытательного оборудования (ИО), тип (марка), заводской и инвентарный номера</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Изготовитель (страна, предприятие, фирма, год выпуска)</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технические характеристики, с указанием погрешности измерений</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ввода в эксплуатацию</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документа об аттестации испытательного оборудования, кем выдан, срок его действия</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Примечание: таблица заполняется по разделам:</w:t>
      </w:r>
    </w:p>
    <w:p>
      <w:pPr>
        <w:spacing w:after="60"/>
        <w:ind w:firstLine="567"/>
        <w:jc w:val="both"/>
      </w:pPr>
      <w:r>
        <w:rPr>
          <w:rFonts w:ascii="Arial" w:cs="Arial" w:eastAsia="Arial" w:hAnsi="Arial"/>
          <w:sz w:val="24"/>
          <w:szCs w:val="24"/>
        </w:rPr>
        <w:t xml:space="preserve">1. Серийно выпускаемое испытательное оборудование общепромышленного применения.</w:t>
      </w:r>
    </w:p>
    <w:p>
      <w:pPr>
        <w:spacing w:after="60"/>
        <w:ind w:firstLine="567"/>
        <w:jc w:val="both"/>
      </w:pPr>
      <w:r>
        <w:rPr>
          <w:rFonts w:ascii="Arial" w:cs="Arial" w:eastAsia="Arial" w:hAnsi="Arial"/>
          <w:sz w:val="24"/>
          <w:szCs w:val="24"/>
        </w:rPr>
        <w:t xml:space="preserve">2. Серийно выпускаемое испытательное оборудование отраслевого применения.</w:t>
      </w:r>
    </w:p>
    <w:p>
      <w:pPr>
        <w:spacing w:after="60"/>
        <w:ind w:firstLine="567"/>
        <w:jc w:val="both"/>
      </w:pPr>
      <w:r>
        <w:rPr>
          <w:rFonts w:ascii="Arial" w:cs="Arial" w:eastAsia="Arial" w:hAnsi="Arial"/>
          <w:sz w:val="24"/>
          <w:szCs w:val="24"/>
        </w:rPr>
        <w:t xml:space="preserve">3. Нестандартизованное испытательное оборудование собственной разработки.</w:t>
      </w:r>
    </w:p>
    <w:p>
      <w:pPr>
        <w:spacing w:after="60"/>
        <w:ind w:firstLine="567"/>
        <w:jc w:val="both"/>
      </w:pPr>
      <w:r>
        <w:rPr>
          <w:rFonts w:ascii="Arial" w:cs="Arial" w:eastAsia="Arial" w:hAnsi="Arial"/>
          <w:sz w:val="24"/>
          <w:szCs w:val="24"/>
        </w:rPr>
        <w:t xml:space="preserve">4. Вспомогательное оборудование.</w:t>
      </w:r>
    </w:p>
    <w:p>
      <w:pPr>
        <w:spacing w:after="60"/>
        <w:ind w:firstLine="567"/>
        <w:jc w:val="both"/>
      </w:pPr>
      <w:r>
        <w:rPr>
          <w:rFonts w:ascii="Arial" w:cs="Arial" w:eastAsia="Arial" w:hAnsi="Arial"/>
          <w:sz w:val="24"/>
          <w:szCs w:val="24"/>
        </w:rPr>
        <w:t xml:space="preserve">5. Испытательное и вспомогательное оборудование, используемое для проведения одних и тех же видов испытаний, но в различных видах продукции указывается 1 раз.</w:t>
      </w:r>
    </w:p>
    <w:p>
      <w:pPr>
        <w:spacing w:after="200" w:before="200"/>
        <w:jc w:val="center"/>
      </w:pPr>
      <w:r>
        <w:rPr>
          <w:rFonts w:ascii="Arial" w:cs="Arial" w:eastAsia="Arial" w:hAnsi="Arial"/>
          <w:b/>
          <w:bCs/>
          <w:sz w:val="32"/>
          <w:szCs w:val="32"/>
        </w:rPr>
        <w:t xml:space="preserve">4. Оснащенность средствами измерений для аттестации стандартных образцов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264"/>
        <w:gridCol w:w="1331"/>
        <w:gridCol w:w="1240"/>
        <w:gridCol w:w="1742"/>
        <w:gridCol w:w="1056"/>
        <w:gridCol w:w="1056"/>
        <w:gridCol w:w="1197"/>
        <w:gridCol w:w="98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стандартного образца</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средства измерения, тип (марка), заводской номер</w:t>
            </w:r>
          </w:p>
        </w:tc>
        <w:tc>
          <w:tcPr>
            <w:tcW w:type="dxa" w:w="12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Изготовитель (страна, предприятие, фирма, год выпуска)</w:t>
            </w:r>
          </w:p>
        </w:tc>
        <w:tc>
          <w:tcPr>
            <w:tcW w:type="dxa" w:w="1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ввода в эксплуатацию и инвентаризационный номер</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Метрологические характеристики</w:t>
            </w:r>
          </w:p>
        </w:tc>
        <w:tc>
          <w:tcPr>
            <w:tcW w:type="dxa" w:w="1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документа о поверке средства измерения, кем выдан, срок его действия</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измерений</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точности или погрешность измерений, цена деления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Примечание: средства измерений, используемые для проведения одних и тех же видов работ, но в различных стандартных образцах, указываются 1 раз.</w:t>
      </w:r>
    </w:p>
    <w:p>
      <w:pPr>
        <w:spacing w:after="200" w:before="200"/>
        <w:jc w:val="center"/>
      </w:pPr>
      <w:r>
        <w:rPr>
          <w:rFonts w:ascii="Arial" w:cs="Arial" w:eastAsia="Arial" w:hAnsi="Arial"/>
          <w:b/>
          <w:bCs/>
          <w:sz w:val="32"/>
          <w:szCs w:val="32"/>
        </w:rPr>
        <w:t xml:space="preserve">5. Оснащенность стандартными образцами при аналитическом контроле
 (при аттестации стандартного образца с целью утверждения типа)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
        <w:gridCol w:w="1358"/>
        <w:gridCol w:w="1008"/>
        <w:gridCol w:w="914"/>
        <w:gridCol w:w="1114"/>
        <w:gridCol w:w="1114"/>
        <w:gridCol w:w="1114"/>
        <w:gridCol w:w="1295"/>
        <w:gridCol w:w="1022"/>
        <w:gridCol w:w="1028"/>
      </w:tblGrid>
      <w:tr>
        <w:tc>
          <w:tcPr>
            <w:tcW w:type="dxa" w:w="2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тип, номер и категория стандартного образца</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Разработчик стандартного образца</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(градуировка)</w:t>
            </w:r>
          </w:p>
        </w:tc>
        <w:tc>
          <w:tcPr>
            <w:tcW w:type="dxa" w:w="33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Метрологические характеристики</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документы на порядок и условия применения</w:t>
            </w:r>
          </w:p>
        </w:tc>
        <w:tc>
          <w:tcPr>
            <w:tcW w:type="dxa" w:w="10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стандартного образца</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 стандартного образца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аттестованного значения</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Погрешность аттестованного значения</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сведения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00" w:before="200"/>
        <w:jc w:val="center"/>
      </w:pPr>
      <w:r>
        <w:rPr>
          <w:rFonts w:ascii="Arial" w:cs="Arial" w:eastAsia="Arial" w:hAnsi="Arial"/>
          <w:b/>
          <w:bCs/>
          <w:sz w:val="24"/>
          <w:szCs w:val="24"/>
        </w:rPr>
        <w:t xml:space="preserve">6. </w:t>
      </w:r>
      <w:r>
        <w:rPr>
          <w:rFonts w:ascii="Arial" w:cs="Arial" w:eastAsia="Arial" w:hAnsi="Arial"/>
          <w:b/>
          <w:bCs/>
          <w:sz w:val="24"/>
          <w:szCs w:val="24"/>
        </w:rPr>
        <w:t xml:space="preserve">Оснащенность оборудованием,
 обеспечивающим поддержание и контроль необходимых условий окружающей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220"/>
        <w:gridCol w:w="1470"/>
        <w:gridCol w:w="1205"/>
        <w:gridCol w:w="1205"/>
        <w:gridCol w:w="2486"/>
        <w:gridCol w:w="1160"/>
        <w:gridCol w:w="1160"/>
      </w:tblGrid>
      <w:tr>
        <w:tc>
          <w:tcPr>
            <w:tcW w:type="dxa" w:w="2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условий окружающей среды(*)</w:t>
            </w:r>
          </w:p>
        </w:tc>
        <w:tc>
          <w:tcPr>
            <w:tcW w:type="dxa" w:w="14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точность поддержания условий окружающей среды</w:t>
            </w:r>
          </w:p>
        </w:tc>
        <w:tc>
          <w:tcPr>
            <w:tcW w:type="dxa" w:w="24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Оборудование для поддержания условий окружающей среды</w:t>
            </w:r>
          </w:p>
        </w:tc>
        <w:tc>
          <w:tcPr>
            <w:tcW w:type="dxa" w:w="2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измерений, применяемые для контроля условий окружающей среды</w:t>
            </w:r>
          </w:p>
        </w:tc>
        <w:tc>
          <w:tcPr>
            <w:tcW w:type="dxa" w:w="23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Технические характеристики</w:t>
            </w:r>
          </w:p>
        </w:tc>
        <w:tc>
          <w:tcPr>
            <w:tcW w:type="dxa" w:w="24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номер документа о калибровке СИ, организация/лаборатория, проводившая калибровку.</w:t>
            </w:r>
          </w:p>
          <w:p>
            <w:pPr>
              <w:jc w:val="center"/>
            </w:pPr>
            <w:r>
              <w:rPr>
                <w:rFonts w:ascii="Arial" w:cs="Arial" w:eastAsia="Arial" w:hAnsi="Arial"/>
                <w:b/>
                <w:bCs/>
                <w:sz w:val="24"/>
                <w:szCs w:val="24"/>
              </w:rPr>
              <w:t xml:space="preserve">Доказательство по обеспечению  прослеживаемости измерений до международной системы СИ(*)</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Доказательство по обеспечению прослеживаемости измерений до международной системы СИ(**)</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 приложить схему помещения лаборатории, с указанием расположения окон, дверей, коммуникаций, сторон света и размещения оборудования (при необходимости).</w:t>
      </w:r>
    </w:p>
    <w:p>
      <w:pPr>
        <w:spacing w:after="60"/>
        <w:ind w:firstLine="567"/>
        <w:jc w:val="both"/>
      </w:pPr>
      <w:r>
        <w:rPr>
          <w:rFonts w:ascii="Arial" w:cs="Arial" w:eastAsia="Arial" w:hAnsi="Arial"/>
          <w:sz w:val="24"/>
          <w:szCs w:val="24"/>
        </w:rPr>
        <w:t xml:space="preserve">(**) приложить копии протокола замеров и/или заключения о соответствии помещений санитарным правилам и гигиеническим нормативам, где приемлемо.</w:t>
      </w:r>
    </w:p>
    <w:p>
      <w:pPr>
        <w:spacing w:after="200" w:before="200"/>
        <w:jc w:val="center"/>
      </w:pPr>
      <w:r>
        <w:rPr>
          <w:rFonts w:ascii="Arial" w:cs="Arial" w:eastAsia="Arial" w:hAnsi="Arial"/>
          <w:b/>
          <w:bCs/>
          <w:sz w:val="32"/>
          <w:szCs w:val="32"/>
        </w:rPr>
        <w:t xml:space="preserve">7. Кадровый состав метрологической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29"/>
        <w:gridCol w:w="816"/>
        <w:gridCol w:w="1408"/>
        <w:gridCol w:w="2497"/>
        <w:gridCol w:w="1459"/>
        <w:gridCol w:w="2414"/>
        <w:gridCol w:w="881"/>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специальность</w:t>
            </w:r>
          </w:p>
        </w:tc>
        <w:tc>
          <w:tcPr>
            <w:tcW w:type="dxa" w:w="24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Проводимые виды работ сотрудниками в соответствии с областью права</w:t>
            </w:r>
          </w:p>
        </w:tc>
        <w:tc>
          <w:tcPr>
            <w:tcW w:type="dxa" w:w="1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Опыт работы в заявленной области</w:t>
            </w:r>
          </w:p>
        </w:tc>
        <w:tc>
          <w:tcPr>
            <w:tcW w:type="dxa" w:w="24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получения удостоверения о повышении квалификации</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200" w:before="200"/>
        <w:jc w:val="center"/>
      </w:pPr>
      <w:r>
        <w:rPr>
          <w:rFonts w:ascii="Arial" w:cs="Arial" w:eastAsia="Arial" w:hAnsi="Arial"/>
          <w:b/>
          <w:bCs/>
          <w:sz w:val="32"/>
          <w:szCs w:val="32"/>
        </w:rPr>
        <w:t xml:space="preserve">8. Перечень нормативных документов, устанавливающих требования к проводимым работам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2019"/>
        <w:gridCol w:w="2093"/>
        <w:gridCol w:w="2939"/>
        <w:gridCol w:w="1972"/>
        <w:gridCol w:w="881"/>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 нормативного документа</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нормативного документа</w:t>
            </w:r>
          </w:p>
        </w:tc>
        <w:tc>
          <w:tcPr>
            <w:tcW w:type="dxa" w:w="2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введения нормативного документа и его срок действия</w:t>
            </w:r>
          </w:p>
        </w:tc>
        <w:tc>
          <w:tcPr>
            <w:tcW w:type="dxa" w:w="1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изменений и даты их введения</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национального органа по метрологии</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претендующего на право проведения __________________________________,
                                                                                       вид(ы) деятельности</w:t>
      </w:r>
    </w:p>
    <w:p>
      <w:pPr>
        <w:spacing w:after="120"/>
        <w:jc w:val="both"/>
      </w:pPr>
      <w:r>
        <w:rPr>
          <w:rFonts w:ascii="Arial" w:cs="Arial" w:eastAsia="Arial" w:hAnsi="Arial"/>
          <w:sz w:val="24"/>
          <w:szCs w:val="24"/>
        </w:rPr>
        <w:t xml:space="preserve">на основании анализа данных, представленных в документах, принято следующее заключение:</w:t>
      </w:r>
    </w:p>
    <w:p>
      <w:pPr>
        <w:spacing w:after="120"/>
        <w:jc w:val="both"/>
      </w:pPr>
      <w:r>
        <w:rPr>
          <w:rFonts w:ascii="Arial" w:cs="Arial" w:eastAsia="Arial" w:hAnsi="Arial"/>
          <w:sz w:val="24"/>
          <w:szCs w:val="24"/>
        </w:rPr>
        <w:t xml:space="preserve">__________________________________________________________________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
                 ФИО</w:t>
      </w:r>
    </w:p>
    <w:p>
      <w:pPr>
        <w:spacing w:after="120"/>
        <w:jc w:val="left"/>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Дата _________________ 20_ г.</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проверки метрологической службы</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В период с "____" по "____" 20_ г.</w:t>
      </w:r>
    </w:p>
    <w:p>
      <w:pPr>
        <w:spacing w:after="120"/>
        <w:jc w:val="left"/>
      </w:pPr>
      <w:r>
        <w:rPr>
          <w:rFonts w:ascii="Arial" w:cs="Arial" w:eastAsia="Arial" w:hAnsi="Arial"/>
          <w:sz w:val="24"/>
          <w:szCs w:val="24"/>
        </w:rPr>
        <w:t xml:space="preserve">Комиссия в составе:
 председатель комиссии
 __________________________________________________________________,
                                             ФИО, должность, место работы</w:t>
      </w:r>
    </w:p>
    <w:p>
      <w:pPr>
        <w:spacing w:after="120"/>
        <w:jc w:val="left"/>
      </w:pPr>
      <w:r>
        <w:rPr>
          <w:rFonts w:ascii="Arial" w:cs="Arial" w:eastAsia="Arial" w:hAnsi="Arial"/>
          <w:sz w:val="24"/>
          <w:szCs w:val="24"/>
        </w:rPr>
        <w:t xml:space="preserve">провела проверку с целью предоставления права
 __________________________________________________________________
                                             (вид(ы) деятельности)</w:t>
      </w:r>
    </w:p>
    <w:p>
      <w:pPr>
        <w:spacing w:after="120"/>
        <w:jc w:val="left"/>
      </w:pPr>
      <w:r>
        <w:rPr>
          <w:rFonts w:ascii="Arial" w:cs="Arial" w:eastAsia="Arial" w:hAnsi="Arial"/>
          <w:sz w:val="24"/>
          <w:szCs w:val="24"/>
        </w:rPr>
        <w:t xml:space="preserve">при проверке установлено:</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9062"/>
        <w:gridCol w:w="788"/>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оценок</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Выводы</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организационная структура, административная подчиненность, наличие у предприятий ресурсов, требуемых для осуществления
 __________________________________________
                         (вид(ы) деятельности)
 на момент проведения проверки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Оснащенность средствами для проведения
 __________________________________________
                         (вид(ы) деятельности)
 и их состояние</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прослеживаемости эталонов</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лабораторных помещений для
 __________________________________________
                         (вид(ы) деятельности)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документами по обеспечению единства измерений, в том числе официальными изданиями стандартов, регламентирующих деятельность в области
 __________________________________________
                         (вид(ы) деятельности)</w:t>
            </w:r>
          </w:p>
          <w:p>
            <w:pPr>
              <w:jc w:val="left"/>
            </w:pPr>
            <w:r>
              <w:rPr>
                <w:rFonts w:ascii="Arial" w:cs="Arial" w:eastAsia="Arial" w:hAnsi="Arial"/>
                <w:sz w:val="24"/>
                <w:szCs w:val="24"/>
              </w:rPr>
              <w:t xml:space="preserve">Проведение работ по актуализации. Состояние и ведение документации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и опыт работы персонала в области
 __________________________________________.
                         (вид(ы) деятельности)</w:t>
            </w:r>
          </w:p>
          <w:p>
            <w:pPr>
              <w:jc w:val="left"/>
            </w:pPr>
            <w:r>
              <w:rPr>
                <w:rFonts w:ascii="Arial" w:cs="Arial" w:eastAsia="Arial" w:hAnsi="Arial"/>
                <w:sz w:val="24"/>
                <w:szCs w:val="24"/>
              </w:rPr>
              <w:t xml:space="preserve">Состояние проводимой работы по повышению квалификации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и функционирование системы регистрации и хранения результатов</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и функционирование системы предоставления услуг</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сличения или поверки под наблюдением</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Комиссия рекомендует:
 ___________________________________________________________________
                                             замечания и рекомендации комиссии</w:t>
      </w:r>
    </w:p>
    <w:p>
      <w:pPr>
        <w:spacing w:after="120"/>
        <w:jc w:val="left"/>
      </w:pPr>
      <w:r>
        <w:rPr>
          <w:rFonts w:ascii="Arial" w:cs="Arial" w:eastAsia="Arial" w:hAnsi="Arial"/>
          <w:sz w:val="24"/>
          <w:szCs w:val="24"/>
        </w:rPr>
        <w:t xml:space="preserve">Заключение:
 ___________________________________________________________________
    рекомендации комиссии в отношении предоставления права, включая срок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tabs>
          <w:tab w:val="right" w:pos="10178"/>
        </w:tabs>
        <w:spacing w:after="120"/>
      </w:pPr>
      <w:r>
        <w:rPr>
          <w:rFonts w:ascii="Arial" w:cs="Arial" w:eastAsia="Arial" w:hAnsi="Arial"/>
          <w:sz w:val="24"/>
          <w:szCs w:val="24"/>
        </w:rPr>
        <w:t xml:space="preserve">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tabs>
          <w:tab w:val="right" w:pos="10178"/>
        </w:tabs>
        <w:spacing w:after="120"/>
      </w:pPr>
      <w:r>
        <w:rPr>
          <w:rFonts w:ascii="Arial" w:cs="Arial" w:eastAsia="Arial" w:hAnsi="Arial"/>
          <w:sz w:val="24"/>
          <w:szCs w:val="24"/>
        </w:rPr>
        <w:t xml:space="preserve">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актом ознакомлен, 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____________________________
 ____________________________</w:t>
      </w:r>
    </w:p>
    <w:p>
      <w:pPr>
        <w:spacing w:after="400" w:before="400"/>
        <w:jc w:val="center"/>
      </w:pPr>
      <w:r>
        <w:rPr>
          <w:rFonts w:ascii="Arial" w:cs="Arial" w:eastAsia="Arial" w:hAnsi="Arial"/>
          <w:b/>
          <w:bCs/>
          <w:sz w:val="32"/>
          <w:szCs w:val="32"/>
        </w:rPr>
        <w:t xml:space="preserve">Заявка</w:t>
      </w:r>
    </w:p>
    <w:p>
      <w:pPr>
        <w:spacing w:after="120"/>
        <w:jc w:val="left"/>
      </w:pPr>
      <w:r>
        <w:rPr>
          <w:rFonts w:ascii="Arial" w:cs="Arial" w:eastAsia="Arial" w:hAnsi="Arial"/>
          <w:sz w:val="24"/>
          <w:szCs w:val="24"/>
        </w:rPr>
        <w:t xml:space="preserve">Просим продлить ___________________________________________________
                                             наименование юридического лица
 __________________________________________________________________</w:t>
      </w:r>
    </w:p>
    <w:p>
      <w:pPr>
        <w:spacing w:after="120"/>
        <w:jc w:val="left"/>
      </w:pPr>
      <w:r>
        <w:rPr>
          <w:rFonts w:ascii="Arial" w:cs="Arial" w:eastAsia="Arial" w:hAnsi="Arial"/>
          <w:sz w:val="24"/>
          <w:szCs w:val="24"/>
        </w:rPr>
        <w:t xml:space="preserve">Право ____________________________________________________________
                             (вид(ы) деятельности, заявленные в области права)</w:t>
      </w:r>
    </w:p>
    <w:p>
      <w:pPr>
        <w:spacing w:after="120"/>
        <w:jc w:val="left"/>
      </w:pPr>
      <w:r>
        <w:rPr>
          <w:rFonts w:ascii="Arial" w:cs="Arial" w:eastAsia="Arial" w:hAnsi="Arial"/>
          <w:sz w:val="24"/>
          <w:szCs w:val="24"/>
        </w:rPr>
        <w:t xml:space="preserve">ФИО руководителя _________________________________________________</w:t>
      </w:r>
    </w:p>
    <w:p>
      <w:pPr>
        <w:spacing w:after="120"/>
        <w:jc w:val="left"/>
      </w:pPr>
      <w:r>
        <w:rPr>
          <w:rFonts w:ascii="Arial" w:cs="Arial" w:eastAsia="Arial" w:hAnsi="Arial"/>
          <w:sz w:val="24"/>
          <w:szCs w:val="24"/>
        </w:rPr>
        <w:t xml:space="preserve">Адрес, телефон ____________________________________________________</w:t>
      </w:r>
    </w:p>
    <w:p>
      <w:pPr>
        <w:spacing w:after="120"/>
        <w:jc w:val="left"/>
      </w:pPr>
      <w:r>
        <w:rPr>
          <w:rFonts w:ascii="Arial" w:cs="Arial" w:eastAsia="Arial" w:hAnsi="Arial"/>
          <w:sz w:val="24"/>
          <w:szCs w:val="24"/>
        </w:rPr>
        <w:t xml:space="preserve">Приложение: информация о виде деятельности, аттестат аккредитации.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60"/>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gqsx87n6clzascth1va">
      <w:r>
        <w:rPr>
          <w:rFonts w:ascii="Arial" w:cs="Arial" w:eastAsia="Arial" w:hAnsi="Arial"/>
          <w:color w:val="132D3F"/>
          <w:sz w:val="16"/>
          <w:szCs w:val="16"/>
          <w:u w:val="single"/>
        </w:rPr>
        <w:t xml:space="preserve">dalil.kg/document/157081</w:t>
      </w:r>
    </w:hyperlink>
  </w:p>
  <w:p>
    <w:pPr>
      <w:spacing w:after="0" w:before="40"/>
      <w:jc w:val="center"/>
    </w:pPr>
    <w:hyperlink w:history="1" r:id="rId4tkrubvc2apoi-tolp9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f8s_wjvjsaowd1xfwo9" Type="http://schemas.openxmlformats.org/officeDocument/2006/relationships/hyperlink" Target="https://dalil.kg/document/157080" TargetMode="External"/><Relationship Id="rIdp1pvu1te2c2mhz7tfxjqf" Type="http://schemas.openxmlformats.org/officeDocument/2006/relationships/hyperlink" Target="https://dalil.kg/document/159567" TargetMode="External"/><Relationship Id="rIdko1g9yr5ui7emovkcryn8" Type="http://schemas.openxmlformats.org/officeDocument/2006/relationships/hyperlink" Target="https://dalil.kg/document/205339" TargetMode="External"/><Relationship Id="rIdpiyrhgntjmgoerdpoh1hx" Type="http://schemas.openxmlformats.org/officeDocument/2006/relationships/hyperlink" Target="https://dalil.kg/document/157081#p1" TargetMode="External"/><Relationship Id="rIddrbxwiuwywnjcdy3nbw_s" Type="http://schemas.openxmlformats.org/officeDocument/2006/relationships/hyperlink" Target="https://dalil.kg/document/157081#p2" TargetMode="External"/><Relationship Id="rIdprpcok86vkhftj2rky4e3" Type="http://schemas.openxmlformats.org/officeDocument/2006/relationships/hyperlink" Target="https://dalil.kg/document/157081#p3" TargetMode="External"/><Relationship Id="rIdufk-eplgygfpu1928mhih" Type="http://schemas.openxmlformats.org/officeDocument/2006/relationships/hyperlink" Target="https://dalil.kg/document/157081#p4" TargetMode="External"/><Relationship Id="rIdv9npcktuc0kfozbe9wcfb" Type="http://schemas.openxmlformats.org/officeDocument/2006/relationships/hyperlink" Target="https://dalil.kg/document/157081#p5" TargetMode="External"/><Relationship Id="rIdory5ih4oylj5uskthiaep" Type="http://schemas.openxmlformats.org/officeDocument/2006/relationships/hyperlink" Target="https://dalil.kg/document/157081#p6" TargetMode="External"/><Relationship Id="rIdivzea0bz7oks_gowydad-" Type="http://schemas.openxmlformats.org/officeDocument/2006/relationships/hyperlink" Target="https://dalil.kg/document/159567" TargetMode="External"/><Relationship Id="rIdiw2jug1b1ojs0ngoiapk6" Type="http://schemas.openxmlformats.org/officeDocument/2006/relationships/hyperlink" Target="https://dalil.kg/document/157081#p7" TargetMode="External"/><Relationship Id="rIdsbwqp5xu59tcg46kk4hwj" Type="http://schemas.openxmlformats.org/officeDocument/2006/relationships/hyperlink" Target="https://dalil.kg/document/157081#p2" TargetMode="External"/><Relationship Id="rIdoq475wag_xdnk7_w0b2vz" Type="http://schemas.openxmlformats.org/officeDocument/2006/relationships/hyperlink" Target="https://dalil.kg/document/157081#p3" TargetMode="External"/><Relationship Id="rIdftnhsntmmxjrzuojm4yk8"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gqsx87n6clzascth1va" Type="http://schemas.openxmlformats.org/officeDocument/2006/relationships/hyperlink" Target="https://dalil.kg/document/157081" TargetMode="External"/><Relationship Id="rId4tkrubvc2apoi-tolp9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2026-09-24T03:08:53.335Z</dcterms:created>
  <dcterms:modified xsi:type="dcterms:W3CDTF">2026-09-24T03:08:53.335Z</dcterms:modified>
</cp:coreProperties>
</file>

<file path=docProps/custom.xml><?xml version="1.0" encoding="utf-8"?>
<Properties xmlns="http://schemas.openxmlformats.org/officeDocument/2006/custom-properties" xmlns:vt="http://schemas.openxmlformats.org/officeDocument/2006/docPropsVTypes"/>
</file>