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2019 года № 480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 недрах"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-mjshqxtcytdiebdba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x3erm6t3gfn2j40aegx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tf32axccaon_sjavsyk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инициированный депутатами Жогорку Кенеша Кыргызской Республики Бакировым М.И., Кулбараковым А.И., Рыспаевым К.Дж. и Султановым А.М.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17 сентября 2019 года № 480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Закон Кыргызской Республики "О недрах"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shpwsfrmqrbmnmx76l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iaioazhb4ohsp2fierx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инициированный депутатами Жогорку Кенеша Кыргызской Республики Бакировым М.И., Кулбараковым А.И., Рыспаевым К.Дж. и Султановым А.М.,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проектом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статью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x9qhihc-hj7va8fzbm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дополнить пунктом 51-1, определяющим понятие фонда инновационных технологий, создаваемого в целях поддержки и финансирования мероприятий по внедрению инновационных технологий в горнорудную промышленность, деятельность которого будет регулироваться решениями Правительства Кыргызской Республики. При этом, предлагается установить, что средства фонда будут формироваться из отчислений горных предприятий в размере 1% годовой выручки.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Закона внимательно изучен на соответствие действующему законодательству страны, Правительство Кыргызской Республики считает, что принятие данного законопроекта нецелесообразно по следующим основаниям.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действующем законодательстве о недрах не содержится такого понятия, как "горные предприятия". В связи с чем не уточнено, какие именно компании в рамках рассматриваемого проекта Закона предлагается обязать уплачивать отчисления в размере 1% годовой выручки, а также как предполагается администрировать данные отчисления.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</w:t>
      </w:r>
      <w:r>
        <w:rPr>
          <w:rFonts w:ascii="Arial" w:cs="Arial" w:eastAsia="Arial" w:hAnsi="Arial"/>
          <w:sz w:val="24"/>
          <w:szCs w:val="24"/>
        </w:rPr>
        <w:t xml:space="preserve">статье 14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5i_mctdwbmsau6vah_d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запрещается создание государственными органами и органами местного самоуправления внебюджетных фондов, за исключением фондов, создаваемых за счет добровольных пожертвований.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из справки-обоснования к проекту Закона, а также содержания проекта Закона не представляется возможным определить правовой статус указанного фонда, а также не обозначена статья, предусматривающая механизмы работы данного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необходимо отметить, что сборы, отчисления, платежи, уплачиваемые в доход государственного бюджета, включая стоимость государственных и муниципальных услуг, и не являющиеся налогами, таможенными платежами, взносами по государственному социальному страхованию и официальными трансфертами, - неналоговые доходы, устанавливаются Кодексом Кыргызской Республики о неналоговых доходах, который регулирует отношения по установлению, введению в действие и взиманию неналоговых доходов, а также возникающие в процессе осуществления контроля за начислением и уплатой неналоговых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настоящее время от предприятий добывающей отрасли, помимо налоговых отчислений, в государственный бюджет поступают следующие виды неналоговых доходов: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предоставление права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удержание лицензии на право пользования недрами с лицензионной площади или ее части, не входящей в границы айылного аймака, города;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на развитие и содержание инфраструктуры местного значения в размере 2% выручки, полученной от реализации полезных ископаемых, без учета косвенных налогов. В настоящее время действуют 43 фонда развития областей и районов, на бюджетные счета которых с 2015 по 2018 годы поступило 1,5 млрд.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загрязнение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Кроме того, предлагается дополнить </w:t>
      </w:r>
      <w:hyperlink w:history="1" r:id="rIdyrxlllwqvyul9acxfno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статьей 50-1, предусматривающей проведение экспертиз инновационных проектов. Частью 2 указанной статьи устанавливается, что экспертиза инновационных проектов осуществляется экспертной комиссией, утверждаемой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необходимо отметить, что данная норма противоречит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pngbf4us-cuq8rge1r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экологической экспертизе", поскольку государственная экологическая экспертиза в сфере экологической безопасности конкретного объекта проводится экспертной комиссией, образованной специально уполномоченным государственным органом по экологической экспертизе (в данном случае - Государственным агентством охраны окружающей среды и лесного хозяйства при Правительстве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Также обращаем внимание на тот факт, что изложение проекта Закона не отвечает требованиям </w:t>
      </w:r>
      <w:hyperlink w:history="1" r:id="rIdl2r72kcqkwoa0xw2idr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5doqr7koinyb8qkik83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Согласно частям 1 и 2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g-ppa4ambrdldihtpz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проекты нормативных правовых актов, направленные на регулирование предпринимательской деятельности, подлежат анализу регулятивного воздействия в соответствии с методикой, утвержденной Правительством Кыргызской Республики. Анализ регулятивного воздействия осуществляется и обеспечивается разработчиком нормативного правового акта. Однако обоснование, подготовленное на основе анализа регулятивного воздействия, к проекту не приложено.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</w:t>
      </w:r>
      <w:r>
        <w:rPr>
          <w:rFonts w:ascii="Arial" w:cs="Arial" w:eastAsia="Arial" w:hAnsi="Arial"/>
          <w:sz w:val="24"/>
          <w:szCs w:val="24"/>
        </w:rPr>
        <w:t xml:space="preserve">статье 25</w:t>
      </w:r>
      <w:r>
        <w:rPr>
          <w:rFonts w:ascii="Arial" w:cs="Arial" w:eastAsia="Arial" w:hAnsi="Arial"/>
          <w:sz w:val="24"/>
          <w:szCs w:val="24"/>
        </w:rPr>
        <w:t xml:space="preserve"> обозначенного </w:t>
      </w:r>
      <w:hyperlink w:history="1" r:id="rIdvtanhoil-we8abmq1qk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справка-обоснование к проекту нормативного правового акта должна содержать информацию о результатах общественного обсуждения в случае, когда оно должно быть проведено.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Необходимо особо отметить, что позиция Правительства Кыргызской Республики по вопросу создания каких-либо фондов в сфере недропользования - это, прежде всего, защита окружающей среды и экологическая безопасность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рамках реализации Стратегического Соглашения по охране окружающей среды и развитию инвестиций между Правительством Кыргызской Республики и компанией "Центерра Голд Инк.", закрытым акционерным обществом "Кумтор Голд Компани" и закрытым акционерным обществом "Кумтор Оперейтинг Компани" создан общественный фонд "Фонд развития природы".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"Кумтор Голд Компани", кроме единовременного платежа в размере 50 млн. долл. США, ежегодно будет вносить в Фонд развития природы платежи в размере 3,7 млн. долл.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рамках данного Стратегического Соглашения компания "Центерра Голд Инк.", закрытое акционерное общество "Кумтор Голд Компани" берут новые обязательства, направленные на расширение финансирования природоохранных мероприятий, а также на поддержку мероприятий, направленных на развитие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также создан общественный фонд "Фонд социального партнерства по развитию регионов" для финансирования проектов социального партнерства в регионах Кыргызской Республики в сферах образования, здравоохранения, спорта и отдыха, а также других инициатив, направленных на развитие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данного законопроекта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urgxfynhan2hdfbqe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dalil.kg/document/157084</w:t>
      </w:r>
    </w:hyperlink>
  </w:p>
  <w:p>
    <w:pPr>
      <w:spacing w:after="0" w:before="40"/>
      <w:jc w:val="center"/>
    </w:pPr>
    <w:hyperlink w:history="1" r:id="rIdtsqiyu7r_syrpxta27b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mjshqxtcytdiebdbaoq" Type="http://schemas.openxmlformats.org/officeDocument/2006/relationships/hyperlink" Target="https://dalil.kg/document/203685" TargetMode="External"/><Relationship Id="rIdx3erm6t3gfn2j40aegxkm" Type="http://schemas.openxmlformats.org/officeDocument/2006/relationships/hyperlink" Target="https://dalil.kg/document/157084#p1" TargetMode="External"/><Relationship Id="rIdtf32axccaon_sjavsykmy" Type="http://schemas.openxmlformats.org/officeDocument/2006/relationships/hyperlink" Target="https://dalil.kg/document/111782" TargetMode="External"/><Relationship Id="rIdrshpwsfrmqrbmnmx76lpg" Type="http://schemas.openxmlformats.org/officeDocument/2006/relationships/hyperlink" Target="https://dalil.kg/document/203685" TargetMode="External"/><Relationship Id="rIdiaioazhb4ohsp2fierxx8" Type="http://schemas.openxmlformats.org/officeDocument/2006/relationships/hyperlink" Target="https://dalil.kg/document/111782" TargetMode="External"/><Relationship Id="rIdex9qhihc-hj7va8fzbm1o" Type="http://schemas.openxmlformats.org/officeDocument/2006/relationships/hyperlink" Target="https://dalil.kg/document/111782" TargetMode="External"/><Relationship Id="rId5i_mctdwbmsau6vah_dfg" Type="http://schemas.openxmlformats.org/officeDocument/2006/relationships/hyperlink" Target="https://dalil.kg/document/111338" TargetMode="External"/><Relationship Id="rIdyrxlllwqvyul9acxfnoky" Type="http://schemas.openxmlformats.org/officeDocument/2006/relationships/hyperlink" Target="https://dalil.kg/document/111782" TargetMode="External"/><Relationship Id="rIdupngbf4us-cuq8rge1rg9" Type="http://schemas.openxmlformats.org/officeDocument/2006/relationships/hyperlink" Target="https://dalil.kg/document/219" TargetMode="External"/><Relationship Id="rIdl2r72kcqkwoa0xw2idrsl" Type="http://schemas.openxmlformats.org/officeDocument/2006/relationships/hyperlink" Target="https://dalil.kg/document/76491" TargetMode="External"/><Relationship Id="rId5doqr7koinyb8qkik83qp" Type="http://schemas.openxmlformats.org/officeDocument/2006/relationships/hyperlink" Target="https://dalil.kg/document/76490" TargetMode="External"/><Relationship Id="rIdrg-ppa4ambrdldihtpzgo" Type="http://schemas.openxmlformats.org/officeDocument/2006/relationships/hyperlink" Target="https://dalil.kg/document/202591" TargetMode="External"/><Relationship Id="rIdvtanhoil-we8abmq1qk-n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urgxfynhan2hdfbqedd" Type="http://schemas.openxmlformats.org/officeDocument/2006/relationships/hyperlink" Target="https://dalil.kg/document/157084" TargetMode="External"/><Relationship Id="rIdtsqiyu7r_syrpxta27b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2026-10-03T12:28:58.294Z</dcterms:created>
  <dcterms:modified xsi:type="dcterms:W3CDTF">2026-10-03T12:28:58.294Z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