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_2zo6jaded-5goqzi2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электронной системе учета и контроля нефти и нефтепродуктов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hi3qpopsrmywutiexu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Технические требования определяют общие требования к электронной системе учета и контроля нефти и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Технических требованиях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система управления автозаправочной станцией</w:t>
      </w:r>
      <w:r>
        <w:rPr>
          <w:rFonts w:ascii="Arial" w:cs="Arial" w:eastAsia="Arial" w:hAnsi="Arial"/>
          <w:sz w:val="24"/>
          <w:szCs w:val="24"/>
        </w:rPr>
        <w:t xml:space="preserve"> – это решение задачи автоматизации станций по заправке автотранспортных средств нефтепродуктами, использующее подсистемы и соответствующее оборудование, в комплексе обеспечивающие управление функциями станций, в том числе синхронизацию работы топливно-раздаточных колонок и контрольно-кассовой машины в части отпуска нефтепродуктов только после пробития фискального чека;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контрольно-кассовые машины</w:t>
      </w:r>
      <w:r>
        <w:rPr>
          <w:rFonts w:ascii="Arial" w:cs="Arial" w:eastAsia="Arial" w:hAnsi="Arial"/>
          <w:sz w:val="24"/>
          <w:szCs w:val="24"/>
        </w:rPr>
        <w:t xml:space="preserve"> - технические (аппаратно-программные) средства с фискальной памятью или виртуальные контрольно-кассовые машины, предназначенные для использования при денежных расчетах, осуществляемых при торговых операциях или выполнении работ и оказании услуг посредством наличных денег и электронных денег, платежных банковских карточек и чеков;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топливораздаточная колонка</w:t>
      </w:r>
      <w:r>
        <w:rPr>
          <w:rFonts w:ascii="Arial" w:cs="Arial" w:eastAsia="Arial" w:hAnsi="Arial"/>
          <w:sz w:val="24"/>
          <w:szCs w:val="24"/>
        </w:rPr>
        <w:t xml:space="preserve"> - колонка на автозаправочной станции, автомобильной газозаправочной станции и автомобильной газонаполнительной компрессорной станции по заправке автомашин нефтепродуктами;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уровнемер</w:t>
      </w:r>
      <w:r>
        <w:rPr>
          <w:rFonts w:ascii="Arial" w:cs="Arial" w:eastAsia="Arial" w:hAnsi="Arial"/>
          <w:sz w:val="24"/>
          <w:szCs w:val="24"/>
        </w:rPr>
        <w:t xml:space="preserve"> - это прибор, задача которого состоит в непрерывном измерении параметров нефтепродуктов (уровень, объем, температура и плотность) в резервуарах;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Х-отчет</w:t>
      </w:r>
      <w:r>
        <w:rPr>
          <w:rFonts w:ascii="Arial" w:cs="Arial" w:eastAsia="Arial" w:hAnsi="Arial"/>
          <w:sz w:val="24"/>
          <w:szCs w:val="24"/>
        </w:rPr>
        <w:t xml:space="preserve"> - промежуточный отчет контрольно-кассовой машины без гашения итоговой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Z-отчет</w:t>
      </w:r>
      <w:r>
        <w:rPr>
          <w:rFonts w:ascii="Arial" w:cs="Arial" w:eastAsia="Arial" w:hAnsi="Arial"/>
          <w:sz w:val="24"/>
          <w:szCs w:val="24"/>
        </w:rPr>
        <w:t xml:space="preserve"> - отчет контрольно-кассовой машины с гашением, производится в конце рабочего дня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dnmvjmlxqdqcov3llh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технические требования к автоматизированной системе управления автозаправочной станцией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сферы торговли нефтепродуктами управление процессом отпуска нефтепродуктов с топливораздаточной колонки и регистрация результатов отпуска должны производиться автоматизированной системой управления автозаправочной станцией (далее – АЗС), обеспечивающей комплексную работу топливораздаточной колонки и контрольно-кассовой машины. Главным условием комплексного взаимодействия является возможность блокировки отпуска нефтепродуктов до оформления чека контрольно-кассовой машины.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hmn6iumlhjbg-qya-3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 требованием к работе автоматизированной системы управления АЗС является использование контрольно-кассовых машин, включенных в Государственный реестр контрольно-кассовых машин, разрешенных к использованию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автоматизированной системы управления АЗС, должно проводиться топливораздаточной колонкой, работающей по соответствующему протоколу передачи данных, обеспечивающий ведение наблюдения за состоянием топливораздаточной колонки в режиме реального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Общие технические требования, предъявляемые к автоматизированной системе управления автозаправочной станцией АЗС: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требования к структуре и функционированию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выбираемой системы и ее подсистем должно осуществляться в долговременном, круглосуточном и непрерывном режиме с предусмотренными запланированными перерывами на регламентные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должна обладать модульной архитектурой и, в случае необходимости, позволять наращивать функциональность своих подсистем на базе единой технологической и архитектурной платформы;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надежности и информационной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к данным должен быть предоставлен только авторизованным пользователям, с учетом их служебных полномочий. Каждому пользователю системы должен быть определен объем функциональности системы, к которой он допущен;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субъектов и процессов, задействованных в системе, должны производиться через специализированные интерфейсы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ролей пользователям должно осуществляться администратором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эргономике: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должна иметь интуитивно понятный и несложный для восприятия интерфейс. Для организации диалога системы с пользователем должен применяться графический пользовательский интерфейс;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 быть обеспечено наличие локализованного интерфейса, особенно для организации взаимодействия с пользователем (на государственном и официальном языке);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сохранности информации при авариях: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программное обеспечение системы должно автоматически восстанавливать свое функционирование при корректном перезапуске аппаратных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должна быть предусмотрена возможность резервного копирования;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отключении электроэнергии автоматически сохранять (без потерь) последние заносимые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требования к функциям, выполняемым системой: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продажу нефтепродуктов через топливораздаточную колонку, в случае, если отпуск задан в литрах (объем), в деньгах (на сумму) или "до полного бака";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осуществлять продажу сопутствующих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оплату за нефтепродукты, сопутствующие товары и услуги с помощью различных платежных средств (наличные, пластиковые карты банковских и прочих платежных систем);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выполнение кассовых операций (возврат товара, печать копии чека, просмотр информации по чеку, внесение в кассу, инкассация, печать Х-отчета и Z-отчета);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открытие/закрытие смен на АЗС;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прием нефтепродуктов и сопутствующих товаров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генерацию сменных и других отчетов по результатам работы АЗС и передачу этих данных в другие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сопряжение с устройствами измерения параметров нефтепродуктов (уровнемеры) в резервуарах, осуществлять измерение, фиксацию и передачу данных в другие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работу с различным дополнительным оборудованием (сканеры штрих-кодов, терминальные устройства, смарт-сейфы и пр.);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интеграцию с программными продуктами сторонних производителей посредством стандарта обмена данными или с использованием специализированных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функции должны вызываться непосредственно из меню автоматизированной системы управления АЗС. На больших АЗС допустимо использование нескольких рабочих мест автоматизированной системы управления АЗС;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требования к взаимодействию автоматизированной системы управления АЗС и контрольно-кассовой машины: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нефтепродуктов с топливораздаточной колонки посредством автоматизированной системы управления АЗС должен производиться исключительно после пробития фискального чека контрольно-кассовой машины;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автоматизированная система управления АЗС должна обеспечивать непрерывную автоматизированную связь с контрольно-кассовой машиной, исключающую возможность корректировки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автоматизированная система управления АЗС должна блокировать отпуск нефтепродуктов при непробитии контрольно-кассовой машиной фискального чека.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rk3-qpajatzj9uqej6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d9ajl0uq-hfwode9p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dalil.kg/document/157097</w:t>
      </w:r>
    </w:hyperlink>
  </w:p>
  <w:p>
    <w:pPr>
      <w:spacing w:after="0" w:before="40"/>
      <w:jc w:val="center"/>
    </w:pPr>
    <w:hyperlink w:history="1" r:id="rIdwlhrzv7xb2hkcxnerle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2zo6jaded-5goqzi2it" Type="http://schemas.openxmlformats.org/officeDocument/2006/relationships/hyperlink" Target="https://dalil.kg/document/157096" TargetMode="External"/><Relationship Id="rIduhi3qpopsrmywutiexun5" Type="http://schemas.openxmlformats.org/officeDocument/2006/relationships/hyperlink" Target="https://dalil.kg/document/157391" TargetMode="External"/><Relationship Id="rIdgdnmvjmlxqdqcov3llhj1" Type="http://schemas.openxmlformats.org/officeDocument/2006/relationships/hyperlink" Target="https://dalil.kg/document/157391" TargetMode="External"/><Relationship Id="rIdnhmn6iumlhjbg-qya-38r" Type="http://schemas.openxmlformats.org/officeDocument/2006/relationships/hyperlink" Target="https://dalil.kg/document/157391" TargetMode="External"/><Relationship Id="rIdork3-qpajatzj9uqej6lj" Type="http://schemas.openxmlformats.org/officeDocument/2006/relationships/hyperlink" Target="https://dalil.kg/document/1573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d9ajl0uq-hfwode9pp_" Type="http://schemas.openxmlformats.org/officeDocument/2006/relationships/hyperlink" Target="https://dalil.kg/document/157097" TargetMode="External"/><Relationship Id="rIdwlhrzv7xb2hkcxnerle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2026-09-25T01:50:37.774Z</dcterms:created>
  <dcterms:modified xsi:type="dcterms:W3CDTF">2026-09-25T01:50:37.774Z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