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 </w:t>
      </w:r>
      <w:hyperlink w:history="1" r:id="rIdzzg4hwzqwj47w2w39bu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2019 года № 471</w:t>
      </w:r>
    </w:p>
    <w:p>
      <w:pPr>
        <w:spacing w:after="60"/>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w:t>
      </w:r>
    </w:p>
    <w:p>
      <w:pPr>
        <w:spacing w:after="200" w:before="200"/>
        <w:jc w:val="center"/>
      </w:pPr>
      <w:r>
        <w:rPr>
          <w:rFonts w:ascii="Arial" w:cs="Arial" w:eastAsia="Arial" w:hAnsi="Arial"/>
          <w:i/>
          <w:iCs/>
          <w:sz w:val="24"/>
          <w:szCs w:val="24"/>
        </w:rPr>
        <w:t xml:space="preserve">г.Бишкек, от 28 марта 2019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Российской Федерации, далее именуемые Сторонами, содействуя дальнейшему укреплению кыргызско-российских отношений, принимая во внимание </w:t>
      </w:r>
      <w:hyperlink w:history="1" r:id="rIdzt5eczgfwhp2cwld_r4qt">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 (далее - Соглашение),</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yu8sri0uqxbtvqxcca9pt">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следующие изменения:</w:t>
      </w:r>
    </w:p>
    <w:p>
      <w:pPr>
        <w:spacing w:after="60"/>
        <w:ind w:firstLine="567"/>
        <w:jc w:val="both"/>
      </w:pPr>
      <w:r>
        <w:rPr>
          <w:rFonts w:ascii="Arial" w:cs="Arial" w:eastAsia="Arial" w:hAnsi="Arial"/>
          <w:sz w:val="24"/>
          <w:szCs w:val="24"/>
        </w:rPr>
        <w:t xml:space="preserve">1. </w:t>
      </w:r>
      <w:hyperlink w:history="1" r:id="rIdmqllobaf2sibmfcvstq_v">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j-g4nlbvcawwtrhz19iw3">
        <w:r>
          <w:rPr>
            <w:rFonts w:ascii="Arial" w:cs="Arial" w:eastAsia="Arial" w:hAnsi="Arial"/>
            <w:color w:val="1D4ED8"/>
            <w:sz w:val="24"/>
            <w:szCs w:val="24"/>
            <w:u w:val="single"/>
          </w:rPr>
          <w:t xml:space="preserve">Статья 3</w:t>
        </w:r>
      </w:hyperlink>
    </w:p>
    <w:p>
      <w:pPr>
        <w:spacing w:after="60"/>
        <w:ind w:firstLine="567"/>
        <w:jc w:val="both"/>
      </w:pPr>
      <w:r>
        <w:rPr>
          <w:rFonts w:ascii="Arial" w:cs="Arial" w:eastAsia="Arial" w:hAnsi="Arial"/>
          <w:sz w:val="24"/>
          <w:szCs w:val="24"/>
        </w:rPr>
        <w:t xml:space="preserve">Компетентные органы Сторон в 2017 году согласовывают объемы и номенклатуру внутреннего потребления в Кыргызской Республике нефти и нефтепродуктов (далее - товары) на 2017 год и утверждают по ним индикативные балансы на 2017 год.</w:t>
      </w:r>
    </w:p>
    <w:p>
      <w:pPr>
        <w:spacing w:after="60"/>
        <w:ind w:firstLine="567"/>
        <w:jc w:val="both"/>
      </w:pPr>
      <w:r>
        <w:rPr>
          <w:rFonts w:ascii="Arial" w:cs="Arial" w:eastAsia="Arial" w:hAnsi="Arial"/>
          <w:sz w:val="24"/>
          <w:szCs w:val="24"/>
        </w:rPr>
        <w:t xml:space="preserve">Объем и номенклатура внутреннего потребления товаров на последующие годы согласовываются компетентными органами Сторон до 1 октября текущего календарного года путем утверждения по ним индикативных балансов по нефтяному сырью (код единой Товарной номенклатуры внешнеэкономической деятельности Евразийского экономического союза (далее - ТН ВЭД ЕАЭС) 2709 00), бензину автомобильному (коды ТН ВЭД ЕАЭС 2710 12 411 0, 2710 12 412 0, 2710 12 413 0, из 2710 12 419 0, из 2710 12 450 0, из 2710 12 490 0), дизельному топливу (коды ТН ВЭД ЕАЭС 2710 19 421 0, 2710 19 422 0, 2710 19 423 0, 2710 19 424 0, 2710 19 425 0, из 2710 19 429 0, из 2710 19 460 0, из 2710 19 480 0), топливу для реактивных двигателей (код ТН ВЭД ЕАЭС 2710 19 210 0) (далее - индикативные балансы) и протокола по битуму нефтяному (код ТН ВЭД ЕАЭС 2713 20 000 0) с указанием физико-химических характеристик битума нефтяного в соответствии с пояснениями к субпозиции 2713 20 000 0 ТН ВЭД ЕАЭС на следующий календарный год, учитывающих рост экономики Кыргызской Республики (далее - протокол).</w:t>
      </w:r>
    </w:p>
    <w:p>
      <w:pPr>
        <w:spacing w:after="60"/>
        <w:ind w:firstLine="567"/>
        <w:jc w:val="both"/>
      </w:pPr>
      <w:r>
        <w:rPr>
          <w:rFonts w:ascii="Arial" w:cs="Arial" w:eastAsia="Arial" w:hAnsi="Arial"/>
          <w:sz w:val="24"/>
          <w:szCs w:val="24"/>
        </w:rPr>
        <w:t xml:space="preserve">При вывозе указанных товаров следует руководствоваться кодами ТН ВЭД ЕАЭС и наименованиями товаров.</w:t>
      </w:r>
    </w:p>
    <w:p>
      <w:pPr>
        <w:spacing w:after="60"/>
        <w:ind w:firstLine="567"/>
        <w:jc w:val="both"/>
      </w:pPr>
      <w:r>
        <w:rPr>
          <w:rFonts w:ascii="Arial" w:cs="Arial" w:eastAsia="Arial" w:hAnsi="Arial"/>
          <w:sz w:val="24"/>
          <w:szCs w:val="24"/>
        </w:rPr>
        <w:t xml:space="preserve">Уточнение индикативных балансов и протокола на каждый текущий календарный год может осуществляться до 15 августа текущего календарного года с учетом обоснованного изменения внутреннего потребления товаров на территории Кыргызской Республики.</w:t>
      </w:r>
    </w:p>
    <w:p>
      <w:pPr>
        <w:spacing w:after="60"/>
        <w:ind w:firstLine="567"/>
        <w:jc w:val="both"/>
      </w:pPr>
      <w:r>
        <w:rPr>
          <w:rFonts w:ascii="Arial" w:cs="Arial" w:eastAsia="Arial" w:hAnsi="Arial"/>
          <w:sz w:val="24"/>
          <w:szCs w:val="24"/>
        </w:rPr>
        <w:t xml:space="preserve">Кыргызская Сторона представляет Российской Стороне до 5 сентября текущего календарного года предложения по формированию индикативных балансов и протокола на следующий календарный год и до 15 ноября текущего календарного года информацию о выполнении индикативных балансов и протокола за 9 месяцев и об их ожидаемом выполнении за текущий календарный год в установленном порядке.</w:t>
      </w:r>
    </w:p>
    <w:p>
      <w:pPr>
        <w:spacing w:after="60"/>
        <w:ind w:firstLine="567"/>
        <w:jc w:val="both"/>
      </w:pPr>
      <w:r>
        <w:rPr>
          <w:rFonts w:ascii="Arial" w:cs="Arial" w:eastAsia="Arial" w:hAnsi="Arial"/>
          <w:sz w:val="24"/>
          <w:szCs w:val="24"/>
        </w:rPr>
        <w:t xml:space="preserve">Компетентные органы Сторон в 2019 году согласовывают объемы и номенклатуру внутреннего потребления в Кыргызской Республике битума нефтяного (код ТН ВЭД ЕАЭС 2713 20 000 0) на 2019 год и утверждают протокол на 2019 год с указанием физико-химических характеристик битума нефтяного в соответствии с пояснениями к субпозиции 2713 20 000 0 ТН ВЭД ЕАЭС, который применяется к правоотношениям, возникшим с даты его утверждения.".</w:t>
      </w:r>
    </w:p>
    <w:p>
      <w:pPr>
        <w:spacing w:after="60"/>
        <w:ind w:firstLine="567"/>
        <w:jc w:val="both"/>
      </w:pPr>
      <w:r>
        <w:rPr>
          <w:rFonts w:ascii="Arial" w:cs="Arial" w:eastAsia="Arial" w:hAnsi="Arial"/>
          <w:sz w:val="24"/>
          <w:szCs w:val="24"/>
        </w:rPr>
        <w:t xml:space="preserve">2. В </w:t>
      </w:r>
      <w:hyperlink w:history="1" r:id="rIde9wefxz2rzkseershx9ol">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после слов "балансами" дополнить словами "и протоколом";</w:t>
      </w:r>
    </w:p>
    <w:p>
      <w:pPr>
        <w:spacing w:after="60"/>
        <w:ind w:firstLine="567"/>
        <w:jc w:val="both"/>
      </w:pPr>
      <w:r>
        <w:rPr>
          <w:rFonts w:ascii="Arial" w:cs="Arial" w:eastAsia="Arial" w:hAnsi="Arial"/>
          <w:sz w:val="24"/>
          <w:szCs w:val="24"/>
        </w:rPr>
        <w:t xml:space="preserve">б) пункт 2 после слов "балансами" дополнить словами "и протоколом, а также в отношении товаров, не предусмотренных индикативными балансами и протоколом";</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Временное периодическое таможенное декларирование применяется в 2019-2024 годах при вывозе из Российской Федерации в Кыргызскую Республику нефтепродуктов трубопроводным транспортом в соответствии с индикативными балансами на 2019-2024 годы.</w:t>
      </w:r>
    </w:p>
    <w:p>
      <w:pPr>
        <w:spacing w:after="60"/>
        <w:ind w:firstLine="567"/>
        <w:jc w:val="both"/>
      </w:pPr>
      <w:r>
        <w:rPr>
          <w:rFonts w:ascii="Arial" w:cs="Arial" w:eastAsia="Arial" w:hAnsi="Arial"/>
          <w:sz w:val="24"/>
          <w:szCs w:val="24"/>
        </w:rPr>
        <w:t xml:space="preserve">При подаче временной декларации на товары освобождение от уплаты вывозных таможенных пошлин применяется на момент выпуска временной декларации на товары, в отношении объема товаров, не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учет товаров осуществляется таможенными органами Российской Федерации исходя из объема товаров, указанного во временных декларациях на товары, в одном из следующих случаев:</w:t>
      </w:r>
    </w:p>
    <w:p>
      <w:pPr>
        <w:spacing w:after="60"/>
        <w:ind w:firstLine="567"/>
        <w:jc w:val="both"/>
      </w:pPr>
      <w:r>
        <w:rPr>
          <w:rFonts w:ascii="Arial" w:cs="Arial" w:eastAsia="Arial" w:hAnsi="Arial"/>
          <w:sz w:val="24"/>
          <w:szCs w:val="24"/>
        </w:rPr>
        <w:t xml:space="preserve">подача полной декларации на товары до 15 числа месяца поставки товаров, указанного во временной декларации на товары, если временная декларация на товары подана до 1 числа месяца поставки товаров;</w:t>
      </w:r>
    </w:p>
    <w:p>
      <w:pPr>
        <w:spacing w:after="60"/>
        <w:ind w:firstLine="567"/>
        <w:jc w:val="both"/>
      </w:pPr>
      <w:r>
        <w:rPr>
          <w:rFonts w:ascii="Arial" w:cs="Arial" w:eastAsia="Arial" w:hAnsi="Arial"/>
          <w:sz w:val="24"/>
          <w:szCs w:val="24"/>
        </w:rPr>
        <w:t xml:space="preserve">подача полной декларации на товары в течение 15 календарных дней с даты подачи временной декларации на товары, если она подана в месяце поставки товаров.</w:t>
      </w:r>
    </w:p>
    <w:p>
      <w:pPr>
        <w:spacing w:after="60"/>
        <w:ind w:firstLine="567"/>
        <w:jc w:val="both"/>
      </w:pPr>
      <w:r>
        <w:rPr>
          <w:rFonts w:ascii="Arial" w:cs="Arial" w:eastAsia="Arial" w:hAnsi="Arial"/>
          <w:sz w:val="24"/>
          <w:szCs w:val="24"/>
        </w:rPr>
        <w:t xml:space="preserve">В случае, если полная декларация на товары подана по истечении сроков, указанных в абзацах четвертом или пятом настоящего пункта, то в отношении объема товаров,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 уплате подлежат вывозные таможенные пошлины, а также пени, рассчитанные с даты регистрации временной декларации на товары до даты исполнения обязанности по уплате вывозных таможенных пошлин по полной декларации на товары.</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подача временной декларации на товары с периодом поставки, превышающим 1 календарный месяц, не допускается.".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Стороны начинают временно применять положения </w:t>
      </w:r>
      <w:hyperlink w:history="1" r:id="rId9fbbm7vpuuwnecnz28ppw">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с учетом изменений, внесенных настоящим Протоколом, по истечении 30 дней с даты подписания настоящего Протокола.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г.Бишкек 28 марта 2019 г. в двух экземплярах, каждый на кыргызском и русском языках, причем оба текста имеют одинаковую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wifyfonz8xc4ccfnycz0">
      <w:r>
        <w:rPr>
          <w:rFonts w:ascii="Arial" w:cs="Arial" w:eastAsia="Arial" w:hAnsi="Arial"/>
          <w:color w:val="132D3F"/>
          <w:sz w:val="16"/>
          <w:szCs w:val="16"/>
          <w:u w:val="single"/>
        </w:rPr>
        <w:t xml:space="preserve">dalil.kg/document/157126</w:t>
      </w:r>
    </w:hyperlink>
  </w:p>
  <w:p>
    <w:pPr>
      <w:spacing w:after="0" w:before="40"/>
      <w:jc w:val="center"/>
    </w:pPr>
    <w:hyperlink w:history="1" r:id="rIdhfxpanww7vxp-rbc599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g4hwzqwj47w2w39bu9m" Type="http://schemas.openxmlformats.org/officeDocument/2006/relationships/hyperlink" Target="https://dalil.kg/document/157125" TargetMode="External"/><Relationship Id="rIdzt5eczgfwhp2cwld_r4qt" Type="http://schemas.openxmlformats.org/officeDocument/2006/relationships/hyperlink" Target="https://dalil.kg/document/99472" TargetMode="External"/><Relationship Id="rIdyu8sri0uqxbtvqxcca9pt" Type="http://schemas.openxmlformats.org/officeDocument/2006/relationships/hyperlink" Target="https://dalil.kg/document/99472" TargetMode="External"/><Relationship Id="rIdmqllobaf2sibmfcvstq_v" Type="http://schemas.openxmlformats.org/officeDocument/2006/relationships/hyperlink" Target="https://dalil.kg/document/99472#st_3" TargetMode="External"/><Relationship Id="rIdj-g4nlbvcawwtrhz19iw3" Type="http://schemas.openxmlformats.org/officeDocument/2006/relationships/hyperlink" Target="https://dalil.kg/document/99472#st_3" TargetMode="External"/><Relationship Id="rIde9wefxz2rzkseershx9ol" Type="http://schemas.openxmlformats.org/officeDocument/2006/relationships/hyperlink" Target="https://dalil.kg/document/99472#st_5" TargetMode="External"/><Relationship Id="rId9fbbm7vpuuwnecnz28ppw" Type="http://schemas.openxmlformats.org/officeDocument/2006/relationships/hyperlink" Target="https://dalil.kg/document/9947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wifyfonz8xc4ccfnycz0" Type="http://schemas.openxmlformats.org/officeDocument/2006/relationships/hyperlink" Target="https://dalil.kg/document/157126" TargetMode="External"/><Relationship Id="rIdhfxpanww7vxp-rbc599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2026-10-03T12:40:12.569Z</dcterms:created>
  <dcterms:modified xsi:type="dcterms:W3CDTF">2026-10-03T12:40:12.569Z</dcterms:modified>
</cp:coreProperties>
</file>

<file path=docProps/custom.xml><?xml version="1.0" encoding="utf-8"?>
<Properties xmlns="http://schemas.openxmlformats.org/officeDocument/2006/custom-properties" xmlns:vt="http://schemas.openxmlformats.org/officeDocument/2006/docPropsVTypes"/>
</file>