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сентября 2019 года № 465</w:t>
      </w:r>
    </w:p>
    <w:p>
      <w:pPr>
        <w:spacing w:after="400" w:before="4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кодексом Кыргызской Республики, </w:t>
      </w:r>
      <w:hyperlink w:history="1" r:id="rIdexk5bubuejzzenhxdvd0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cqdxxfxfrjykyw6gg9zk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inmkszrrpu4jodeiadf9x">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2020-2022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2020-2022 годы принять за основу утвержденные макроэкономические параметры развития Кыргызской Республики на 2020-2022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2020-2022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принять исчерпывающие меры по выполнению мероприятий, заложенных в программных документах Правительства Кыргызской Республики,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и месторождений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2020-2022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tpgmmawc4by-zw1_ugh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2020-2022 годы" от 3 июня 2019 года № 270.</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10 сентября 2019 года № 465</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Главной целью Среднесрочного прогноза социально-экономического развития Кыргызской Республики на 2020-2022 годы (далее - Среднесрочный прогноз)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Среднесрочном прогнозе определены основные направления развития ключевых отраслей экономики на 2020 год, включая детализированное описание их прогнозных значений, и перспективы развития экономики страны на 2021-2022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4"/>
          <w:szCs w:val="24"/>
        </w:rPr>
        <w:t xml:space="preserve">Сценарий Среднесрочного прогноза социально-экономического развития Кыргызской Республики на 2020-2022 годы одобрен Координационным советом по макроэкономической и инвестиционной политике при Правительстве Кыргызской Республики (протокол от 6 августа 2019 года № 16-147) и является основой для разработки проекта Основных направлений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2018 году</w:t>
      </w:r>
    </w:p>
    <w:p>
      <w:pPr>
        <w:spacing w:after="60"/>
        <w:ind w:firstLine="567"/>
        <w:jc w:val="both"/>
      </w:pPr>
      <w:r>
        <w:rPr>
          <w:rFonts w:ascii="Arial" w:cs="Arial" w:eastAsia="Arial" w:hAnsi="Arial"/>
          <w:sz w:val="24"/>
          <w:szCs w:val="24"/>
        </w:rPr>
        <w:t xml:space="preserve">Развитие национальной экономики в течение 2018 года происходило в условиях сохранения неоднозначной ситуации во внешней среде: мир столкнулся с торговыми войнами, обвалами на фондовых, валютных и цифровых рынках, рекордными скачками цен на нефть, которые оказали влияние на показатели развития мировой экономики и были предопределены следующим набором событий:</w:t>
      </w:r>
    </w:p>
    <w:p>
      <w:pPr>
        <w:spacing w:after="60"/>
        <w:ind w:firstLine="567"/>
        <w:jc w:val="both"/>
      </w:pPr>
      <w:r>
        <w:rPr>
          <w:rFonts w:ascii="Arial" w:cs="Arial" w:eastAsia="Arial" w:hAnsi="Arial"/>
          <w:sz w:val="24"/>
          <w:szCs w:val="24"/>
        </w:rPr>
        <w:t xml:space="preserve">- спад мировой торговли (глобальный рост мировой торговли по итогам 2018 года замедлился до уровней ниже 2017 года (в 2017 году составлял 5,3 %, а в 2018 году замедлился до 3,8%), потери составили 0,5 трлн. долл. США от торговых войн и ограничений);</w:t>
      </w:r>
    </w:p>
    <w:p>
      <w:pPr>
        <w:spacing w:after="60"/>
        <w:ind w:firstLine="567"/>
        <w:jc w:val="both"/>
      </w:pPr>
      <w:r>
        <w:rPr>
          <w:rFonts w:ascii="Arial" w:cs="Arial" w:eastAsia="Arial" w:hAnsi="Arial"/>
          <w:sz w:val="24"/>
          <w:szCs w:val="24"/>
        </w:rPr>
        <w:t xml:space="preserve">- замедление китайской экономики из-за "торговой войны" США с КНР (более серьезные потери понес рынок акций Китая, Shanghai Composite и CSI 300, два важнейших биржевых индекса главного до недавних пор локомотива мировой экономики, упали за год примерно на 25%);</w:t>
      </w:r>
    </w:p>
    <w:p>
      <w:pPr>
        <w:spacing w:after="60"/>
        <w:ind w:firstLine="567"/>
        <w:jc w:val="both"/>
      </w:pPr>
      <w:r>
        <w:rPr>
          <w:rFonts w:ascii="Arial" w:cs="Arial" w:eastAsia="Arial" w:hAnsi="Arial"/>
          <w:sz w:val="24"/>
          <w:szCs w:val="24"/>
        </w:rPr>
        <w:t xml:space="preserve">- усиление санкций в отношении основного стратегического партнера - Российской Федерации и ответные меры РФ против США;</w:t>
      </w:r>
    </w:p>
    <w:p>
      <w:pPr>
        <w:spacing w:after="60"/>
        <w:ind w:firstLine="567"/>
        <w:jc w:val="both"/>
      </w:pPr>
      <w:r>
        <w:rPr>
          <w:rFonts w:ascii="Arial" w:cs="Arial" w:eastAsia="Arial" w:hAnsi="Arial"/>
          <w:sz w:val="24"/>
          <w:szCs w:val="24"/>
        </w:rPr>
        <w:t xml:space="preserve">- волатильность стоимости энергосырья (по итогам 2018 года нефть марки Brent подешевела примерно на 20%, а по сравнению с годовым пиком в начале октября этот европейский сорт (на который ориентируются и российские экспортеры нефти) потерял в цене уже порядка 40%);</w:t>
      </w:r>
    </w:p>
    <w:p>
      <w:pPr>
        <w:spacing w:after="60"/>
        <w:ind w:firstLine="567"/>
        <w:jc w:val="both"/>
      </w:pPr>
      <w:r>
        <w:rPr>
          <w:rFonts w:ascii="Arial" w:cs="Arial" w:eastAsia="Arial" w:hAnsi="Arial"/>
          <w:sz w:val="24"/>
          <w:szCs w:val="24"/>
        </w:rPr>
        <w:t xml:space="preserve">- ужесточение денежно-кредитной политики Федеральной резервной системы США (далее - ФРС) (справочно: ставка повышена за 2018 год с 1,25-1,5% до 2,25-2,5%), что оказало прямое воздействие на обменный курс основных стратегических партнеров и спровоцировало отток капитала с развивающихся рынков (справочно: чистый отток капитала из России, включая иностранные инвестиции, вырос в 2,7 раза, до 67,5 млрд. долл. США (в 2017 году составлял 31,3 млрд. долл. США).</w:t>
      </w:r>
    </w:p>
    <w:p>
      <w:pPr>
        <w:spacing w:after="60"/>
        <w:ind w:firstLine="567"/>
        <w:jc w:val="both"/>
      </w:pPr>
      <w:r>
        <w:rPr>
          <w:rFonts w:ascii="Arial" w:cs="Arial" w:eastAsia="Arial" w:hAnsi="Arial"/>
          <w:sz w:val="24"/>
          <w:szCs w:val="24"/>
        </w:rPr>
        <w:t xml:space="preserve">Данные события оказали определенное влияние на результаты развития мировой экономики и государств-членов Евразийского экономического союза (далее - ЕАЭС), где показатели сложились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before="200"/>
        <w:jc w:val="center"/>
      </w:pPr>
      <w:r>
        <w:rPr>
          <w:rFonts w:ascii="Arial" w:cs="Arial" w:eastAsia="Arial" w:hAnsi="Arial"/>
          <w:b/>
          <w:bCs/>
          <w:sz w:val="32"/>
          <w:szCs w:val="32"/>
        </w:rPr>
        <w:t xml:space="preserve">Темпы прироста ВВП мировой экономики
 и государств-членов ЕАЭС, в %(1)</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3234"/>
        <w:gridCol w:w="4628"/>
      </w:tblGrid>
      <w:tr>
        <w:tc>
          <w:tcPr>
            <w:tcW w:type="dxa" w:w="2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Рост мировой экономики в 2018 году замедлился и составил 3,6%, не достигнув прогнозируемых значений (3,9%, МВФ), темп прироста валового внутреннего продукта (далее - ВВП) Китая составил 6,6%, что является худшим показателем за последние десятилетия. Рост ВВП еврозоны стал самым низким показателем с 2014 года, который сложился на уровне 1,8% (самый высокий показатель с 2008 года зафиксирован в 2017 году - 2,4%) (табл. 1).</w:t>
      </w:r>
    </w:p>
    <w:p>
      <w:pPr>
        <w:spacing w:after="60"/>
        <w:ind w:firstLine="567"/>
        <w:jc w:val="both"/>
      </w:pPr>
      <w:r>
        <w:rPr>
          <w:rFonts w:ascii="Arial" w:cs="Arial" w:eastAsia="Arial" w:hAnsi="Arial"/>
          <w:sz w:val="24"/>
          <w:szCs w:val="24"/>
        </w:rPr>
        <w:t xml:space="preserve">Темпы экономического роста во всех государствах-членах ЕАЭС оказались выше национальных прогнозов и прогнозов международных экономических организаций. Экономический прирост в России составил 2,3%, Республике Армения (далее - Армения) - 5,2%, Республике Казахстан (далее - Казахстан) - 4,1%, Республике Беларусь (далее - Беларусь) - 3,0% (табл. 1). При этом Россия и Беларусь достигли максимальных темпов экономического роста с 2013 года (в 2013 году темпы прироста России - 1,3%, Беларуси - 1,0%).</w:t>
      </w:r>
    </w:p>
    <w:p>
      <w:pPr>
        <w:spacing w:after="60"/>
        <w:ind w:firstLine="567"/>
        <w:jc w:val="both"/>
      </w:pPr>
      <w:r>
        <w:rPr>
          <w:rFonts w:ascii="Arial" w:cs="Arial" w:eastAsia="Arial" w:hAnsi="Arial"/>
          <w:sz w:val="24"/>
          <w:szCs w:val="24"/>
        </w:rPr>
        <w:t xml:space="preserve">На фоне вышеобозначенных макроэкономических условий в государствах-членах ЕАЭС и основных торговых партнеров, главным результатом для кыргызской экономики в 2018 году стало удержание положительной динамики и достижение прогнозируемого уровня роста экономики и объема ВВП.</w:t>
      </w:r>
    </w:p>
    <w:p>
      <w:pPr>
        <w:spacing w:after="60"/>
        <w:ind w:firstLine="567"/>
        <w:jc w:val="both"/>
      </w:pPr>
      <w:r>
        <w:rPr>
          <w:rFonts w:ascii="Arial" w:cs="Arial" w:eastAsia="Arial" w:hAnsi="Arial"/>
          <w:sz w:val="24"/>
          <w:szCs w:val="24"/>
        </w:rPr>
        <w:t xml:space="preserve">В течение 2018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2018 год по реализации Программы развития Кыргызской Республики на период 2018-2022 годов "Единство. Доверие. Созидание", утвержденного постановлением Правительства Кыргызской Республики от 30 августа 2018 года № 413. Данный План включает меры по укреплению национальной экономики, адаптации экономики к новым правилам ЕАЭС и целый блок мероприятий, направленных на обеспечение социально-экономической стабильности в условиях современных вызовов и негативного влияния внешних и внутренних неблагоприятных факторов.</w:t>
      </w:r>
    </w:p>
    <w:p>
      <w:pPr>
        <w:spacing w:after="60"/>
        <w:ind w:firstLine="567"/>
        <w:jc w:val="both"/>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 итогам 2018 года объем ВВП сложился в сумме 557,1 млрд. сомов, где реальный темп прироста составил 3,5% (в 2017 году составлял 4,7%). Без учета предприятий по разработке месторождения Кумтор, реальный темп роста ВВП составил 103,5%, за 2017 год аналогичный показатель составлял 105,1%, что свидетельствует о позитивных тенденциях роста в секторах экономики (табл. 2).</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сельском хозяйстве объемы реально возросли на 2,7%, строительстве - на 7,8%, сфере услуг - на 2,1%, промышленности - на 5,5%.</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530475,7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99305,4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66386,8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249896,0</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69330,1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Основными факторами, оказавшими позитивное воздействие на сохранение положительной динамики макроэкономических показателей в отчетном периоде, стали:</w:t>
      </w:r>
    </w:p>
    <w:p>
      <w:pPr>
        <w:spacing w:after="60"/>
        <w:ind w:firstLine="567"/>
        <w:jc w:val="both"/>
      </w:pPr>
      <w:r>
        <w:rPr>
          <w:rFonts w:ascii="Arial" w:cs="Arial" w:eastAsia="Arial" w:hAnsi="Arial"/>
          <w:sz w:val="24"/>
          <w:szCs w:val="24"/>
        </w:rPr>
        <w:t xml:space="preserve">- социально-политическая стабильность в стране и странах - основных торговых партнерах;</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 что стало хорошим сигналом для оздоровления бизнес-среды;</w:t>
      </w:r>
    </w:p>
    <w:p>
      <w:pPr>
        <w:spacing w:after="60"/>
        <w:ind w:firstLine="567"/>
        <w:jc w:val="both"/>
      </w:pPr>
      <w:r>
        <w:rPr>
          <w:rFonts w:ascii="Arial" w:cs="Arial" w:eastAsia="Arial" w:hAnsi="Arial"/>
          <w:sz w:val="24"/>
          <w:szCs w:val="24"/>
        </w:rPr>
        <w:t xml:space="preserve">- продолжение реализации Программы по льготному кредитованию фермеров и пищепереработки (по состоянию на 31 декабря 2018 года, выдано 11336 кредитов фермерским хозяйствам на общую сумму 5637,1 млн. сомов), а также оказание государственной поддержки сельскохозяйственным товаропроизводителям и создание благоприятных условий для них путем обеспечения их необходимыми материально-техническими средствами, предоставление в лизинг сельхозтехники и выделение ГСМ за счет матрезерва, и т.д. (по состоянию на 31 декабря 2018 года, аграриями республики было получено 338 единиц различной сельхозтехники на сумму 643,2 млн. сомов);</w:t>
      </w:r>
    </w:p>
    <w:p>
      <w:pPr>
        <w:spacing w:after="60"/>
        <w:ind w:firstLine="567"/>
        <w:jc w:val="both"/>
      </w:pPr>
      <w:r>
        <w:rPr>
          <w:rFonts w:ascii="Arial" w:cs="Arial" w:eastAsia="Arial" w:hAnsi="Arial"/>
          <w:sz w:val="24"/>
          <w:szCs w:val="24"/>
        </w:rPr>
        <w:t xml:space="preserve">- рост объемов чистого притока денежных переводов физических лиц на 5,5% (за 2018 год объем этих трансфертов составил 2143,0 млн. долл. США);</w:t>
      </w:r>
    </w:p>
    <w:p>
      <w:pPr>
        <w:spacing w:after="60"/>
        <w:ind w:firstLine="567"/>
        <w:jc w:val="both"/>
      </w:pPr>
      <w:r>
        <w:rPr>
          <w:rFonts w:ascii="Arial" w:cs="Arial" w:eastAsia="Arial" w:hAnsi="Arial"/>
          <w:sz w:val="24"/>
          <w:szCs w:val="24"/>
        </w:rPr>
        <w:t xml:space="preserve">- рост реальной заработной платы на 3,8% (без учета малых предприятий) и объемов выданных потребительских кредитов в 2018 году на 26,0%, которые позволили увеличить размер частного потребления на 3,9%;</w:t>
      </w:r>
    </w:p>
    <w:p>
      <w:pPr>
        <w:spacing w:after="60"/>
        <w:ind w:firstLine="567"/>
        <w:jc w:val="both"/>
      </w:pPr>
      <w:r>
        <w:rPr>
          <w:rFonts w:ascii="Arial" w:cs="Arial" w:eastAsia="Arial" w:hAnsi="Arial"/>
          <w:sz w:val="24"/>
          <w:szCs w:val="24"/>
        </w:rPr>
        <w:t xml:space="preserve">- финансовая поддержка экономических проектов со стороны: Российско-Кыргызского Фонда развития, который на 1 января 2019 года одобрил 1653 проекта на общую сумму 303,9 млн. долл. США;</w:t>
      </w:r>
    </w:p>
    <w:p>
      <w:pPr>
        <w:spacing w:after="60"/>
        <w:ind w:firstLine="567"/>
        <w:jc w:val="both"/>
      </w:pPr>
      <w:r>
        <w:rPr>
          <w:rFonts w:ascii="Arial" w:cs="Arial" w:eastAsia="Arial" w:hAnsi="Arial"/>
          <w:sz w:val="24"/>
          <w:szCs w:val="24"/>
        </w:rPr>
        <w:t xml:space="preserve">- ОАО "Гарантийный фонд" утвердил 656 гарантий на 755 млн. сомов, увеличив количество и сумму почти в 3 раза, поддержав кредитование почти на 3 млрд. сомов;</w:t>
      </w:r>
    </w:p>
    <w:p>
      <w:pPr>
        <w:spacing w:after="60"/>
        <w:ind w:firstLine="567"/>
        <w:jc w:val="both"/>
      </w:pPr>
      <w:r>
        <w:rPr>
          <w:rFonts w:ascii="Arial" w:cs="Arial" w:eastAsia="Arial" w:hAnsi="Arial"/>
          <w:sz w:val="24"/>
          <w:szCs w:val="24"/>
        </w:rPr>
        <w:t xml:space="preserve">- на 1 января 2019 года выдано 3799 ипотечных кредитов на сумму более 4,27 млрд.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Проводимая в стране сбалансированная денежно-кредитная политика позволила обеспечить относительно стабильную динамику уровня инфляции и обменного курса доллара США к сому. Официальный курс доллара по отношению к сому за январь-декабрь 2018 года повысился всего на 1,5%. В целях сглаживания резких колебаний обменного курса Национальный банк Кыргызской Республики (далее - Национальный банк) проводил интервенции как по продаже долларов США, так и по их покупке.</w:t>
      </w:r>
    </w:p>
    <w:p>
      <w:pPr>
        <w:spacing w:after="60"/>
        <w:ind w:firstLine="567"/>
        <w:jc w:val="both"/>
      </w:pPr>
      <w:r>
        <w:rPr>
          <w:rFonts w:ascii="Arial" w:cs="Arial" w:eastAsia="Arial" w:hAnsi="Arial"/>
          <w:sz w:val="24"/>
          <w:szCs w:val="24"/>
        </w:rPr>
        <w:t xml:space="preserve">Уровень "долларизации" депозитов банковского сектора понизился с 47,5 до 43,9%, уровень "долларизации" кредитного портфеля банковского сектора понизился с начала года с 38,0% до 37,9%.</w:t>
      </w:r>
    </w:p>
    <w:p>
      <w:pPr>
        <w:spacing w:after="60"/>
        <w:ind w:firstLine="567"/>
        <w:jc w:val="both"/>
      </w:pPr>
      <w:r>
        <w:rPr>
          <w:rFonts w:ascii="Arial" w:cs="Arial" w:eastAsia="Arial" w:hAnsi="Arial"/>
          <w:sz w:val="24"/>
          <w:szCs w:val="24"/>
        </w:rPr>
        <w:t xml:space="preserve">В течение 2018 года наблюдался низкий уровень инфляции, который в январе-декабре 2018 года сложился на уровне 1,5% (к соответствующему периоду 2017 года) и 0,5% (декабрь 2018 года к декабрю 2017 года) (табл. 3).</w:t>
      </w:r>
    </w:p>
    <w:p>
      <w:pPr>
        <w:spacing w:after="60"/>
        <w:ind w:firstLine="567"/>
        <w:jc w:val="both"/>
      </w:pPr>
      <w:r>
        <w:rPr>
          <w:rFonts w:ascii="Arial" w:cs="Arial" w:eastAsia="Arial" w:hAnsi="Arial"/>
          <w:sz w:val="24"/>
          <w:szCs w:val="24"/>
        </w:rPr>
        <w:t xml:space="preserve">Ключевыми направлениями экономической политики являются обеспечение макроэкономической стабильности через сокращение бюджетного дефицита, непревышение предельного значения уровня внешнего долга к ВВП. За 2018 год размер дефицита государственного бюджета не превысил целевого ориентира (не более 3% к ВВП) и составил 1,1% к ВВП. По состоянию на 31 декабря 2018 года, уровень государственного долга к ВВП составил 56,0% (табл.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инфляции, государственного долга
 и дефицита бюджета в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3"/>
        <w:gridCol w:w="1109"/>
        <w:gridCol w:w="1539"/>
        <w:gridCol w:w="2306"/>
      </w:tblGrid>
      <w:tr>
        <w:tc>
          <w:tcPr>
            <w:tcW w:type="dxa" w:w="5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предв. факт</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дефицита бюджета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государственного долга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Положительная динамика макроэкономических показателей позволила Правительству Кыргызской Республики (далее - Правительство) обеспечить выполнение всех запланированных социальных обязательств.</w:t>
      </w:r>
    </w:p>
    <w:p>
      <w:pPr>
        <w:spacing w:after="60"/>
        <w:ind w:firstLine="567"/>
        <w:jc w:val="both"/>
      </w:pPr>
      <w:r>
        <w:rPr>
          <w:rFonts w:ascii="Arial" w:cs="Arial" w:eastAsia="Arial" w:hAnsi="Arial"/>
          <w:sz w:val="24"/>
          <w:szCs w:val="24"/>
        </w:rPr>
        <w:t xml:space="preserve">В 2018 году среднемесячная номинальная заработная плата одного работника составила 16427,0 сомов и по сравнению с 2017 годом увеличилась на 4,8%, а ее реальный размер возрос на 3,3%, что в 3,4 раза покрывает величину прожиточного минимума. Среднегодовая величина прожиточного минимума в 2018 году составила 4792,5 сома. Средний размер пенсии на 1 января 2019 года составил 5604,0 сомов и увеличился по сравнению с аналогичной датой 2018 года на 2,0%.</w:t>
      </w:r>
    </w:p>
    <w:p>
      <w:pPr>
        <w:spacing w:after="200" w:before="200"/>
        <w:jc w:val="center"/>
      </w:pPr>
      <w:r>
        <w:rPr>
          <w:rFonts w:ascii="Arial" w:cs="Arial" w:eastAsia="Arial" w:hAnsi="Arial"/>
          <w:b/>
          <w:bCs/>
          <w:sz w:val="24"/>
          <w:szCs w:val="24"/>
        </w:rPr>
        <w:t xml:space="preserve">3. Перспективы развития мировой экономики и государств-членов ЕАЭС. Динамика основных мировых товарных рынков (золото, нефть)</w:t>
      </w:r>
    </w:p>
    <w:p>
      <w:pPr>
        <w:spacing w:after="60"/>
        <w:ind w:firstLine="567"/>
        <w:jc w:val="both"/>
      </w:pPr>
      <w:r>
        <w:rPr>
          <w:rFonts w:ascii="Arial" w:cs="Arial" w:eastAsia="Arial" w:hAnsi="Arial"/>
          <w:sz w:val="24"/>
          <w:szCs w:val="24"/>
        </w:rPr>
        <w:t xml:space="preserve">Мировая экономика(2). Продолжение противостояния между США и Китаем ("торговые войны" - США продолжили процесс повышения пошлин на весь оставшийся импорт из Китая, который оценивается в 300 млрд. долл. США, в ответ Министерство финансов Китайской Народной Республики с 1 июня 2019 года повысило пошлины на ввоз товаров из США стоимостью 60 млрд. долл. США), сохранение неопределенности, обусловленной возможным выходом Великобритании из Евросоюза (Brexit), усиливающаяся геополитическая напряженность привели к дестабилизации цен на энергоносители.</w:t>
      </w:r>
    </w:p>
    <w:p>
      <w:pPr>
        <w:spacing w:after="60"/>
        <w:ind w:firstLine="567"/>
        <w:jc w:val="both"/>
      </w:pPr>
      <w:r>
        <w:rPr>
          <w:rFonts w:ascii="Arial" w:cs="Arial" w:eastAsia="Arial" w:hAnsi="Arial"/>
          <w:sz w:val="24"/>
          <w:szCs w:val="24"/>
        </w:rPr>
        <w:t xml:space="preserve">В настоящее время данные по мировому ВВП в сочетании с замедляющейся инфляцией свидетельствуют о более низкой, чем ожидалось, мировой экономической активности. Наблюдается снижение спроса на потребительские товары длительного пользования во всех странах с развитой экономикой и странах с формирующимся рынком. Динамика мировой торговли остается замедленной.</w:t>
      </w:r>
    </w:p>
    <w:p>
      <w:pPr>
        <w:spacing w:after="60"/>
        <w:ind w:firstLine="567"/>
        <w:jc w:val="both"/>
      </w:pPr>
      <w:r>
        <w:rPr>
          <w:rFonts w:ascii="Arial" w:cs="Arial" w:eastAsia="Arial" w:hAnsi="Arial"/>
          <w:sz w:val="24"/>
          <w:szCs w:val="24"/>
        </w:rPr>
        <w:t xml:space="preserve">Наблюдается затяжная неопределенность в отношении налогово-бюджетной политики, ухудшение динамики долга в некоторых странах с высоким уровнем долга и более резкое, чем ожидалось, замедление экономического роста Китая в связи с напряженностью в сфере торговли и необходимостью укрепления внутреннего регулирования.</w:t>
      </w:r>
    </w:p>
    <w:p>
      <w:pPr>
        <w:spacing w:after="60"/>
        <w:ind w:firstLine="567"/>
        <w:jc w:val="both"/>
      </w:pPr>
      <w:r>
        <w:rPr>
          <w:rFonts w:ascii="Arial" w:cs="Arial" w:eastAsia="Arial" w:hAnsi="Arial"/>
          <w:sz w:val="24"/>
          <w:szCs w:val="24"/>
        </w:rPr>
        <w:t xml:space="preserve">Таким образом, по прогнозам международных институтов, в среднесрочной перспективе присутствуют риски возможного замедления мирового экономического роста, что связано с некоторыми негативными изменениями, затронувшими ведущие экономики мира, низкой экономической активностью, ослаблением динамики восстановления торговли и производства, несогласованностью бизнес-процессов, которые могут привести к глобальному замедлению роста мировой экономики в среднесрочной перспективе.</w:t>
      </w:r>
    </w:p>
    <w:p>
      <w:pPr>
        <w:spacing w:after="60"/>
        <w:ind w:firstLine="567"/>
        <w:jc w:val="both"/>
      </w:pPr>
      <w:r>
        <w:rPr>
          <w:rFonts w:ascii="Arial" w:cs="Arial" w:eastAsia="Arial" w:hAnsi="Arial"/>
          <w:sz w:val="24"/>
          <w:szCs w:val="24"/>
        </w:rPr>
        <w:t xml:space="preserve">По оценкам Международного валютного фонда (МВФ), рост мирового ВВП на 2019 год пересмотрен в сторону снижения на 0,1 процентных пункта, до 3,2%, на 2020 год - на 0,1 процентный пункт, до 3,5%.</w:t>
      </w:r>
    </w:p>
    <w:p>
      <w:pPr>
        <w:spacing w:after="60"/>
        <w:ind w:firstLine="567"/>
        <w:jc w:val="both"/>
      </w:pPr>
      <w:r>
        <w:rPr>
          <w:rFonts w:ascii="Arial" w:cs="Arial" w:eastAsia="Arial" w:hAnsi="Arial"/>
          <w:sz w:val="24"/>
          <w:szCs w:val="24"/>
        </w:rPr>
        <w:t xml:space="preserve">Еврозона(3). В еврозоне ожидается, что экономический рост ускорится в течение второго полугодия 2019 года и в 2020 году, поскольку предполагается восстановление внешнего спроса, а временные факторы такие, как спад производства автомобилей в Германии, уличные протесты во Франции и др., будут продолжать ослабевать. При этом риски, связанные с возможным выходом Великобритании из состава ЕС, усилением политической неопределенности, и менее благоприятная для роста политика могут привести к сокращению частных инвестиций.</w:t>
      </w:r>
    </w:p>
    <w:p>
      <w:pPr>
        <w:spacing w:after="60"/>
        <w:ind w:firstLine="567"/>
        <w:jc w:val="both"/>
      </w:pPr>
      <w:r>
        <w:rPr>
          <w:rFonts w:ascii="Arial" w:cs="Arial" w:eastAsia="Arial" w:hAnsi="Arial"/>
          <w:sz w:val="24"/>
          <w:szCs w:val="24"/>
        </w:rPr>
        <w:t xml:space="preserve">Ожидается, что в 2020 году неблагоприятные внутренние факторы будут постепенно аннулироваться, а экономическая активность за пределами Европейского союза восстановится, чему будет способствовать смягчение глобальных финансовых условий и политические стимулы в некоторых странах с развивающейся экономикой. В результате, по оценкам МВФ, рост ВВП в зоне евро в 2019 году ожидается на уровне 101,3%, в 2020 году - 101,6%. По оценкам Европейской комиссии, рост ВВП в зоне евро в 2019 году ожидается на уровне 101,2%, в 2020 году - 101,5%.</w:t>
      </w:r>
    </w:p>
    <w:p>
      <w:pPr>
        <w:spacing w:after="60"/>
        <w:ind w:firstLine="567"/>
        <w:jc w:val="both"/>
      </w:pPr>
      <w:r>
        <w:rPr>
          <w:rFonts w:ascii="Arial" w:cs="Arial" w:eastAsia="Arial" w:hAnsi="Arial"/>
          <w:sz w:val="24"/>
          <w:szCs w:val="24"/>
        </w:rPr>
        <w:t xml:space="preserve">Китай(4). После двух лет умеренного роста, в 2019-2020 годах, по оценкам МВФ и Всемирного банка, в Китае ожидается замедление роста экономики до уровня 6,2%. Данный показатель может стать самым минимальным значением с 1990 года и оказать отрицательное влияние на всю мировую экономику. Негативные последствия повышения тарифов и уменьшения внешнего спроса создали дополнительное давление на экономику на фоне уже происходящего структурного замедления и необходимого усиления регулирования для противодействия сильной зависимости от долга. Ожидается, что стимулирующие меры политики будут поддерживать экономическую активность в условиях неблагоприятного внешнего шока. Конфликт США и Китая, по прогнозу международных организаций, продлится до конца 2019 года. Конфликт уже нанес ущерб мировой торговле и инвестиционному циклу, и его негативное воздействие продолжится.</w:t>
      </w:r>
    </w:p>
    <w:p>
      <w:pPr>
        <w:spacing w:after="60"/>
        <w:ind w:firstLine="567"/>
        <w:jc w:val="both"/>
      </w:pPr>
      <w:r>
        <w:rPr>
          <w:rFonts w:ascii="Arial" w:cs="Arial" w:eastAsia="Arial" w:hAnsi="Arial"/>
          <w:sz w:val="24"/>
          <w:szCs w:val="24"/>
        </w:rPr>
        <w:t xml:space="preserve">Правительством Китая, на фоне имеющихся рисков, целевой диапазон роста экономики на 2019 год установлен на уровне 6,0-6,5%.</w:t>
      </w:r>
    </w:p>
    <w:p>
      <w:pPr>
        <w:spacing w:after="60"/>
        <w:ind w:firstLine="567"/>
        <w:jc w:val="both"/>
      </w:pPr>
      <w:r>
        <w:rPr>
          <w:rFonts w:ascii="Arial" w:cs="Arial" w:eastAsia="Arial" w:hAnsi="Arial"/>
          <w:sz w:val="24"/>
          <w:szCs w:val="24"/>
        </w:rPr>
        <w:t xml:space="preserve">США(5). Прогноз экономического роста, по данным МВФ, был пересмотрен в сторону увеличения. Пересмотр в сторону увеличения в 2019 году связан с более высоким, чем ожидалось, ростом экономики, в 2019 году прирост ВВП составит 2,6%. При этом, на 2020 год прогнозируется замедление экономики США до 1,9%, что связано с ослаблением налогово-бюджетного стимула, а также высоким уровнем процентных ставок по федеральным фондам. Однако данный рост прогнозируется выше потенциального значения. Рост внутреннего спроса будет стимулироваться увеличением импорта и оказывать негативное воздействие на дефицит счета текущих операций США.</w:t>
      </w:r>
    </w:p>
    <w:p>
      <w:pPr>
        <w:spacing w:after="60" w:before="200"/>
        <w:ind w:firstLine="567"/>
        <w:jc w:val="left"/>
      </w:pPr>
      <w:r>
        <w:rPr>
          <w:rFonts w:ascii="Arial" w:cs="Arial" w:eastAsia="Arial" w:hAnsi="Arial"/>
          <w:b/>
          <w:bCs/>
          <w:sz w:val="24"/>
          <w:szCs w:val="24"/>
        </w:rPr>
        <w:t xml:space="preserve">Рис. 1. Прогноз МВФ темпов прироста ВВП мировой экономики и Китая, в %</w:t>
      </w:r>
    </w:p>
    <w:p>
      <w:pPr>
        <w:spacing w:after="60" w:before="200"/>
        <w:ind w:firstLine="567"/>
        <w:jc w:val="left"/>
      </w:pPr>
      <w:r>
        <w:rPr>
          <w:rFonts w:ascii="Arial" w:cs="Arial" w:eastAsia="Arial" w:hAnsi="Arial"/>
          <w:b/>
          <w:bCs/>
          <w:sz w:val="24"/>
          <w:szCs w:val="24"/>
        </w:rPr>
        <w:t xml:space="preserve">Рис. 2. Прогноз МВФ темпов прироста ВВП еврозоны и США в %</w:t>
      </w:r>
    </w:p>
    <w:p>
      <w:pPr>
        <w:spacing w:after="60"/>
        <w:ind w:firstLine="567"/>
        <w:jc w:val="both"/>
      </w:pPr>
      <w:r>
        <w:rPr>
          <w:rFonts w:ascii="Arial" w:cs="Arial" w:eastAsia="Arial" w:hAnsi="Arial"/>
          <w:sz w:val="24"/>
          <w:szCs w:val="24"/>
        </w:rPr>
        <w:t xml:space="preserve">Государства-члены ЕАЭС: Российская Федерация(6). После рывка, сделанного в 2018 году, где экономический прирост составил 2,3% (впервые с 2013 года), в 2019 году ожидается некоторое замедление прироста ВВП до 1,3%, что связано с внешними рисками: замедлением мирового экономического роста, геополитической обстановкой (санкции против России), волатильностью цены на нефть и др. В среднесрочной перспективе прогнозируется постепенное восстановление экономического роста до 3,0%.</w:t>
      </w:r>
    </w:p>
    <w:p>
      <w:pPr>
        <w:spacing w:after="60"/>
        <w:ind w:firstLine="567"/>
        <w:jc w:val="both"/>
      </w:pPr>
      <w:r>
        <w:rPr>
          <w:rFonts w:ascii="Arial" w:cs="Arial" w:eastAsia="Arial" w:hAnsi="Arial"/>
          <w:sz w:val="24"/>
          <w:szCs w:val="24"/>
        </w:rPr>
        <w:t xml:space="preserve">По прогнозам МВФ и Всемирного банка, сокращение добычи нефти, более жесткая денежно-кредитная политика в сочетании с повышением размера налога на добавленную стоимость приведут к замедлению экономического роста до 1,2% в 2019 году, на 2020 год - прогнозируется на уровне 1,9%. Если не будут проведены более глубокие структурные реформы, долгосрочные темпы роста, по прогнозу, установятся на уровне примерно 1,8%.</w:t>
      </w:r>
    </w:p>
    <w:p>
      <w:pPr>
        <w:spacing w:after="60"/>
        <w:ind w:firstLine="567"/>
        <w:jc w:val="both"/>
      </w:pPr>
      <w:r>
        <w:rPr>
          <w:rFonts w:ascii="Arial" w:cs="Arial" w:eastAsia="Arial" w:hAnsi="Arial"/>
          <w:sz w:val="24"/>
          <w:szCs w:val="24"/>
        </w:rPr>
        <w:t xml:space="preserve">Республика Казахстан(7). Экономический рост в Казахстане в 2019 году ожидается на уровне 3,8% (на 2019 год прогноз снижен на 0,1 процентный пункт), на 2020-2021 годы - в среднем на уровне 4,1%.</w:t>
      </w:r>
    </w:p>
    <w:p>
      <w:pPr>
        <w:spacing w:after="60"/>
        <w:ind w:firstLine="567"/>
        <w:jc w:val="both"/>
      </w:pPr>
      <w:r>
        <w:rPr>
          <w:rFonts w:ascii="Arial" w:cs="Arial" w:eastAsia="Arial" w:hAnsi="Arial"/>
          <w:sz w:val="24"/>
          <w:szCs w:val="24"/>
        </w:rPr>
        <w:t xml:space="preserve">Сохранение геополитической напряженности, внешней неопределенности, увеличение торговых барьеров и пересмотр систем регулирования будут формировать дополнительные вызовы/риски, отразятся на мировых инвестиционных потоках и приведут к ограничению прироста ВВП в Казахстане.</w:t>
      </w:r>
    </w:p>
    <w:p>
      <w:pPr>
        <w:spacing w:after="60"/>
        <w:ind w:firstLine="567"/>
        <w:jc w:val="both"/>
      </w:pPr>
      <w:r>
        <w:rPr>
          <w:rFonts w:ascii="Arial" w:cs="Arial" w:eastAsia="Arial" w:hAnsi="Arial"/>
          <w:sz w:val="24"/>
          <w:szCs w:val="24"/>
        </w:rPr>
        <w:t xml:space="preserve">Волатильность цены на нефть будет вносить отрицательный вклад в развитие казахстанской экономики и являться одним из основных источников снижения ВВП. Ожидается сокращение объемов добычи нефти в Казахстане по причине крупного капитального ремонта на 3 крупнейших месторождениях: Кашаган, Тенгиз и Карачаганак.</w:t>
      </w:r>
    </w:p>
    <w:p>
      <w:pPr>
        <w:spacing w:after="60" w:before="200"/>
        <w:ind w:firstLine="567"/>
        <w:jc w:val="left"/>
      </w:pPr>
      <w:r>
        <w:rPr>
          <w:rFonts w:ascii="Arial" w:cs="Arial" w:eastAsia="Arial" w:hAnsi="Arial"/>
          <w:b/>
          <w:bCs/>
          <w:sz w:val="24"/>
          <w:szCs w:val="24"/>
        </w:rPr>
        <w:t xml:space="preserve">Рис. 3. Прогноз ВБ темпов прироста ВВП РА и РБ, в %</w:t>
      </w:r>
    </w:p>
    <w:p>
      <w:pPr>
        <w:spacing w:after="60" w:before="200"/>
        <w:ind w:firstLine="567"/>
        <w:jc w:val="left"/>
      </w:pPr>
      <w:r>
        <w:rPr>
          <w:rFonts w:ascii="Arial" w:cs="Arial" w:eastAsia="Arial" w:hAnsi="Arial"/>
          <w:b/>
          <w:bCs/>
          <w:sz w:val="24"/>
          <w:szCs w:val="24"/>
        </w:rPr>
        <w:t xml:space="preserve">Рис. 4. Прогноз темпов прироста ВВП РФ и РК (Минэконом страны), в %</w:t>
      </w:r>
    </w:p>
    <w:p>
      <w:pPr>
        <w:spacing w:after="60"/>
        <w:ind w:firstLine="567"/>
        <w:jc w:val="both"/>
      </w:pPr>
      <w:r>
        <w:rPr>
          <w:rFonts w:ascii="Arial" w:cs="Arial" w:eastAsia="Arial" w:hAnsi="Arial"/>
          <w:sz w:val="24"/>
          <w:szCs w:val="24"/>
        </w:rPr>
        <w:t xml:space="preserve">Мировой рынок нефти. Фундаментальными предпосылками для волатильности цен на нефтяном рынке будут: продление действия Соглашения ОПЕК+, ограничивающего добычу нефти до конца 2019 года (2 июля 2019 года на 6-й Министерской встрече стран ОПЕК и стран, не входящих в ОПЕК, прошедшей в городе Вена, принято решение о продлении Соглашения ОПЕК+ еще на 9 месяцев, на условиях, одобренных в декабре 2018 года); геополитические события вокруг основных производителей нефти (Ближний Восток и Северная Америка) по причине активизации санкций против Ирана; "торговые войны" между США и Китаем будут продолжать оказывать давление на рыночные настроения и физический спрос на нефть.</w:t>
      </w:r>
    </w:p>
    <w:p>
      <w:pPr>
        <w:spacing w:after="60"/>
        <w:ind w:firstLine="567"/>
        <w:jc w:val="both"/>
      </w:pPr>
      <w:r>
        <w:rPr>
          <w:rFonts w:ascii="Arial" w:cs="Arial" w:eastAsia="Arial" w:hAnsi="Arial"/>
          <w:sz w:val="24"/>
          <w:szCs w:val="24"/>
        </w:rPr>
        <w:t xml:space="preserve">На поведение цен на нефть будет оказывать влияние напряженная ситуация на Ближнем Востоке, которая может привести к перебоям с поставками на рынок нефти. Негативным фактором также по-прежнему остается ухудшение прогноза роста мировой экономики.</w:t>
      </w:r>
    </w:p>
    <w:p>
      <w:pPr>
        <w:spacing w:after="60"/>
        <w:ind w:firstLine="567"/>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65 до 80 долл.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sz w:val="24"/>
          <w:szCs w:val="24"/>
        </w:rPr>
        <w:t xml:space="preserve">Мировой рынок золота. В целом, 2019-2020 годы будут благоприятными для рынка золота. Ожидается, что цена на золото будет постепенно расти, однако будет наблюдаться некоторая нестабильность и повышенные риски. Главным фактором поддержки золота могут стать настроения инвесторов из-за волатильности на фондовом рынке. Ценовая конъюнктура рынка драгоценных металлов в среднесрочной перспективе будет предопределяться набором следующих факторов:</w:t>
      </w:r>
    </w:p>
    <w:p>
      <w:pPr>
        <w:spacing w:after="60"/>
        <w:ind w:firstLine="567"/>
        <w:jc w:val="both"/>
      </w:pPr>
      <w:r>
        <w:rPr>
          <w:rFonts w:ascii="Arial" w:cs="Arial" w:eastAsia="Arial" w:hAnsi="Arial"/>
          <w:sz w:val="24"/>
          <w:szCs w:val="24"/>
        </w:rPr>
        <w:t xml:space="preserve">- смягчение политики ФРС, которая будет оказывать влияние на стоимость доллара США (ожидается замедление повышения процентных ставок ФРС), что является поддерживающим фактором роста цен на золото;</w:t>
      </w:r>
    </w:p>
    <w:p>
      <w:pPr>
        <w:spacing w:after="60"/>
        <w:ind w:firstLine="567"/>
        <w:jc w:val="both"/>
      </w:pPr>
      <w:r>
        <w:rPr>
          <w:rFonts w:ascii="Arial" w:cs="Arial" w:eastAsia="Arial" w:hAnsi="Arial"/>
          <w:sz w:val="24"/>
          <w:szCs w:val="24"/>
        </w:rPr>
        <w:t xml:space="preserve">- 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к золоту возрастет и приведет к росту цены);</w:t>
      </w:r>
    </w:p>
    <w:p>
      <w:pPr>
        <w:spacing w:after="60"/>
        <w:ind w:firstLine="567"/>
        <w:jc w:val="both"/>
      </w:pPr>
      <w:r>
        <w:rPr>
          <w:rFonts w:ascii="Arial" w:cs="Arial" w:eastAsia="Arial" w:hAnsi="Arial"/>
          <w:sz w:val="24"/>
          <w:szCs w:val="24"/>
        </w:rPr>
        <w:t xml:space="preserve">- политическая ситуация в Европе (стала наблюдаться ситуация скупки и сохранения своих сбережений европейцами в виде золота, что связано с ухудшением экономических показателей в европейской экономике): возможный выход Великобритании из Европейского союза, протесты "желтых жилетов" во Франции и анти-европейское правительство в Италии привели к тому, что европейские инвесторы пытаются сохранить свои сбережения путем покупки золота;</w:t>
      </w:r>
    </w:p>
    <w:p>
      <w:pPr>
        <w:spacing w:after="60"/>
        <w:ind w:firstLine="567"/>
        <w:jc w:val="both"/>
      </w:pPr>
      <w:r>
        <w:rPr>
          <w:rFonts w:ascii="Arial" w:cs="Arial" w:eastAsia="Arial" w:hAnsi="Arial"/>
          <w:sz w:val="24"/>
          <w:szCs w:val="24"/>
        </w:rPr>
        <w:t xml:space="preserve">- неопределенность ситуации на фондовых рынках (волатильность на рынке акций, гособлигаций приводит к тому, что инвесторы начинают вкладывать в более предсказуемые активы - золото);</w:t>
      </w:r>
    </w:p>
    <w:p>
      <w:pPr>
        <w:spacing w:after="60"/>
        <w:ind w:firstLine="567"/>
        <w:jc w:val="both"/>
      </w:pPr>
      <w:r>
        <w:rPr>
          <w:rFonts w:ascii="Arial" w:cs="Arial" w:eastAsia="Arial" w:hAnsi="Arial"/>
          <w:sz w:val="24"/>
          <w:szCs w:val="24"/>
        </w:rPr>
        <w:t xml:space="preserve">- и др.</w:t>
      </w:r>
    </w:p>
    <w:p>
      <w:pPr>
        <w:spacing w:after="60" w:before="200"/>
        <w:ind w:firstLine="567"/>
        <w:jc w:val="left"/>
      </w:pPr>
      <w:r>
        <w:rPr>
          <w:rFonts w:ascii="Arial" w:cs="Arial" w:eastAsia="Arial" w:hAnsi="Arial"/>
          <w:b/>
          <w:bCs/>
          <w:sz w:val="24"/>
          <w:szCs w:val="24"/>
        </w:rPr>
        <w:t xml:space="preserve">Рис. 5. Прогноз мировой цены на нефть, в %</w:t>
      </w:r>
    </w:p>
    <w:p>
      <w:pPr>
        <w:spacing w:after="60" w:before="200"/>
        <w:ind w:firstLine="567"/>
        <w:jc w:val="left"/>
      </w:pPr>
      <w:r>
        <w:rPr>
          <w:rFonts w:ascii="Arial" w:cs="Arial" w:eastAsia="Arial" w:hAnsi="Arial"/>
          <w:b/>
          <w:bCs/>
          <w:sz w:val="24"/>
          <w:szCs w:val="24"/>
        </w:rPr>
        <w:t xml:space="preserve">Рис. 6. Прогноз цен на золото, в %</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2019-2022 годы. На рассматриваемые периоды перспективы развития мировой экономики варьируются в интервале 3,2%-3,8%, а изменение цен на нефть варьируется в интервале от 65,0 до 80,0 долл. США за баррель. На 2019-2022 годы цены на золото прогнозируются в диапазоне 1280-1400 долл.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2020-2022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3207"/>
        <w:gridCol w:w="2276"/>
        <w:gridCol w:w="1048"/>
        <w:gridCol w:w="1048"/>
        <w:gridCol w:w="1048"/>
        <w:gridCol w:w="1048"/>
      </w:tblGrid>
      <w:tr>
        <w:tc>
          <w:tcPr>
            <w:tcW w:type="dxa" w:w="5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к пред. году</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 за баррель</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 за тройскую унцию</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1280-1350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Таким образом, усиление торговых войн между ведущими экономиками мира служит ограничивающим фактором для роста мировой и региональной торговли, а сохранение геополитической напряженности подкрепляет основания для понижения прогнозов по темпам роста мировой экономики на будущий период.</w:t>
      </w:r>
    </w:p>
    <w:p>
      <w:pPr>
        <w:spacing w:after="200" w:before="200"/>
        <w:jc w:val="center"/>
      </w:pPr>
      <w:r>
        <w:rPr>
          <w:rFonts w:ascii="Arial" w:cs="Arial" w:eastAsia="Arial" w:hAnsi="Arial"/>
          <w:b/>
          <w:bCs/>
          <w:sz w:val="24"/>
          <w:szCs w:val="24"/>
        </w:rPr>
        <w:t xml:space="preserve">4. Условия и факторы/риски социально-экономического развития Кыргызской Республики на 2019-2022 годы</w:t>
      </w:r>
    </w:p>
    <w:p>
      <w:pPr>
        <w:spacing w:after="60"/>
        <w:ind w:firstLine="567"/>
        <w:jc w:val="both"/>
      </w:pPr>
      <w:r>
        <w:rPr>
          <w:rFonts w:ascii="Arial" w:cs="Arial" w:eastAsia="Arial" w:hAnsi="Arial"/>
          <w:sz w:val="24"/>
          <w:szCs w:val="24"/>
        </w:rPr>
        <w:t xml:space="preserve">Экономическое развитие в 2019 году и прогнозируемом горизонте (2020-2022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В среднесрочной перспективе будет наблюдаться тенденция некоторого замедления мировой экономики. Мировой фон будет оказывать влияние на экономики стран-членов ЕАЭС, темпы прироста которых замедлятся в 2019 году с последующим ростом в среднесрочной перспективе.</w:t>
      </w:r>
    </w:p>
    <w:p>
      <w:pPr>
        <w:spacing w:after="60"/>
        <w:ind w:firstLine="567"/>
        <w:jc w:val="both"/>
      </w:pPr>
      <w:r>
        <w:rPr>
          <w:rFonts w:ascii="Arial" w:cs="Arial" w:eastAsia="Arial" w:hAnsi="Arial"/>
          <w:sz w:val="24"/>
          <w:szCs w:val="24"/>
        </w:rPr>
        <w:t xml:space="preserve">Замедление роста российской экономики в 2019 году с последующим ростом в среднесрочной перспективе повлечет дальнейшее умеренное поступление денежных переводов физических лиц, осуществляемых через системы переводов (рост прогнозируется в среднем в 2019-2022 годах на 3,9% (почти 97% всех переводов поступает из РФ), которое будет способствовать росту частного потребления, что в свою очередь окажет влияние на сферу услуг и строительный сектор в целом.</w:t>
      </w:r>
    </w:p>
    <w:p>
      <w:pPr>
        <w:spacing w:after="60" w:before="200"/>
        <w:ind w:firstLine="567"/>
        <w:jc w:val="left"/>
      </w:pPr>
      <w:r>
        <w:rPr>
          <w:rFonts w:ascii="Arial" w:cs="Arial" w:eastAsia="Arial" w:hAnsi="Arial"/>
          <w:b/>
          <w:bCs/>
          <w:sz w:val="24"/>
          <w:szCs w:val="24"/>
        </w:rPr>
        <w:t xml:space="preserve">Рис. 7. Темпы номинального роста денежных переводов Кыргызской Республики и темпы прироста ВВП Российской Федерации, в %</w:t>
      </w:r>
    </w:p>
    <w:p>
      <w:pPr>
        <w:spacing w:after="60" w:before="200"/>
        <w:ind w:firstLine="567"/>
        <w:jc w:val="left"/>
      </w:pPr>
      <w:r>
        <w:rPr>
          <w:rFonts w:ascii="Arial" w:cs="Arial" w:eastAsia="Arial" w:hAnsi="Arial"/>
          <w:b/>
          <w:bCs/>
          <w:sz w:val="24"/>
          <w:szCs w:val="24"/>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4"/>
          <w:szCs w:val="24"/>
        </w:rPr>
        <w:t xml:space="preserve">Благоприятная ценовая ситуация на мировых продовольственных рынках, укрепление валют стран - основных торговых партнеров к доллару США и их прогнозы по уровню инфляции в рамках целевых ориентиров будут способствовать сохранению умеренного роста цен в стране.</w:t>
      </w:r>
    </w:p>
    <w:p>
      <w:pPr>
        <w:spacing w:after="60" w:before="200"/>
        <w:ind w:firstLine="567"/>
        <w:jc w:val="left"/>
      </w:pPr>
      <w:r>
        <w:rPr>
          <w:rFonts w:ascii="Arial" w:cs="Arial" w:eastAsia="Arial" w:hAnsi="Arial"/>
          <w:b/>
          <w:bCs/>
          <w:sz w:val="24"/>
          <w:szCs w:val="24"/>
        </w:rPr>
        <w:t xml:space="preserve">Рис. 9. Индекс цен на продовольствие Продовольственной и сельскохозяйственной организации ООН (ФАО) (2019-2022 гг.), в %</w:t>
      </w:r>
    </w:p>
    <w:p>
      <w:pPr>
        <w:spacing w:after="60"/>
        <w:ind w:firstLine="567"/>
        <w:jc w:val="both"/>
      </w:pPr>
      <w:r>
        <w:rPr>
          <w:rFonts w:ascii="Arial" w:cs="Arial" w:eastAsia="Arial" w:hAnsi="Arial"/>
          <w:sz w:val="24"/>
          <w:szCs w:val="24"/>
        </w:rPr>
        <w:t xml:space="preserve">В 2019-2022 годах в целом ожидается сохранение тренда во внешнеэкономических показателях, умеренный рост ВВП.</w:t>
      </w:r>
    </w:p>
    <w:p>
      <w:pPr>
        <w:spacing w:after="60"/>
        <w:ind w:firstLine="567"/>
        <w:jc w:val="both"/>
      </w:pPr>
      <w:r>
        <w:rPr>
          <w:rFonts w:ascii="Arial" w:cs="Arial" w:eastAsia="Arial" w:hAnsi="Arial"/>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социально-политическая стабильность;</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 закрепленных в Программе развития Кыргызской Республики на период 2018-2022 годов "Единство. Доверие. Созидание", утвержденной постановлением Жогорку Кенеша Кыргызской Республики от 20 апреля 2018 года № 2377-VI (далее - Программа развития Кыргызской Республики), включающей меры по укреплению национальной экономики;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Государственной ипотечной компании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в рамках реализации Программы Правительства по развитию экспорта Кыргызской Республики на 2019-2022 годы, утвержденной постановлением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Текущее направление денежно-кредитной политики, ориентированное на поддержание мер стимулирования реального сектора экономики, будет способствовать дальнейшему расширению кредитования экономики (Национальный банк Кыргызской Республики с начала 2019 года дважды снизил учетную ставку, с 4,75% до 4,50% - в феврале и до 4,25% - в мае). В случае возникновения инфляционных рисков во внутренней и внешней среде Национальный банк Кыргызской Республики может рассмотреть возможность корректировки текущего направления денежно-кредитной политики.</w:t>
      </w:r>
    </w:p>
    <w:p>
      <w:pPr>
        <w:spacing w:after="60"/>
        <w:ind w:firstLine="567"/>
        <w:jc w:val="both"/>
      </w:pPr>
      <w:r>
        <w:rPr>
          <w:rFonts w:ascii="Arial" w:cs="Arial" w:eastAsia="Arial" w:hAnsi="Arial"/>
          <w:sz w:val="24"/>
          <w:szCs w:val="24"/>
        </w:rPr>
        <w:t xml:space="preserve">Доступность финансовых ресурсов, отражаемая в растущем объеме кредитования и постепенном снижении процентных ставок, будет положительно сказываться на состоянии потребительского рынка и стимулировать экономическую активность населения. За последние пять лет объемы кредитов в экономику имеют устойчивую тенденцию роста, при этом снижается средневзвешенная процентная ставка по банковским кредитам (за период) в национальной валюте.</w:t>
      </w:r>
    </w:p>
    <w:p>
      <w:pPr>
        <w:spacing w:after="60" w:before="200"/>
        <w:ind w:firstLine="567"/>
        <w:jc w:val="left"/>
      </w:pPr>
      <w:r>
        <w:rPr>
          <w:rFonts w:ascii="Arial" w:cs="Arial" w:eastAsia="Arial" w:hAnsi="Arial"/>
          <w:b/>
          <w:bCs/>
          <w:sz w:val="24"/>
          <w:szCs w:val="24"/>
        </w:rPr>
        <w:t xml:space="preserve">Рис. 10. Учетная ставка НБКР, в %</w:t>
      </w:r>
    </w:p>
    <w:p>
      <w:pPr>
        <w:spacing w:after="60" w:before="200"/>
        <w:ind w:firstLine="567"/>
        <w:jc w:val="left"/>
      </w:pPr>
      <w:r>
        <w:rPr>
          <w:rFonts w:ascii="Arial" w:cs="Arial" w:eastAsia="Arial" w:hAnsi="Arial"/>
          <w:b/>
          <w:bCs/>
          <w:sz w:val="24"/>
          <w:szCs w:val="24"/>
        </w:rPr>
        <w:t xml:space="preserve">Рис. 11. Объемы кредитования и средневзвешенная процентная ставка, в %</w:t>
      </w:r>
    </w:p>
    <w:p>
      <w:pPr>
        <w:spacing w:after="6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замедление темпов роста мировой экономики на фоне нарастания напряженности в торговле, неопределенности на финансовых рынках, замедления роста китайской экономики (воздействие через торговлю, ПИИ, помощь);</w:t>
      </w:r>
    </w:p>
    <w:p>
      <w:pPr>
        <w:spacing w:after="60"/>
        <w:ind w:firstLine="567"/>
        <w:jc w:val="both"/>
      </w:pPr>
      <w:r>
        <w:rPr>
          <w:rFonts w:ascii="Arial" w:cs="Arial" w:eastAsia="Arial" w:hAnsi="Arial"/>
          <w:sz w:val="24"/>
          <w:szCs w:val="24"/>
        </w:rPr>
        <w:t xml:space="preserve">- усиление торговой войны между США и Китаем, что отрицательно сказывается на мировом фондовом рынке, котировках ценных бумаг и приводит к волатильности валют (США ввели 10-процентные пошлины на китайскую продукцию). В ответ Пекин обрушил курс юаня и приостановил закупки американской сельскохозяйственной продукции, что привело к обвалу фондовых рынков по обе стороны Тихого океана и новому росту напряженности. С 1 сентября 2019 года США введены новые тарифы на импорт китайских товаров на общую сумму 112,0 млрд. долл. США, при этом примерно 250 млрд. долл. США импорта уже обложены пошлинами (новые тарифы представляют собой первую фазу плана по введению сборов в размере 15% на китайские товары стоимостью 300 млрд. долл. США до конца 2019 года), тарифы будут действовать в отношении всех без исключения поставок в США из Китая);</w:t>
      </w:r>
    </w:p>
    <w:p>
      <w:pPr>
        <w:spacing w:after="60"/>
        <w:ind w:firstLine="567"/>
        <w:jc w:val="both"/>
      </w:pPr>
      <w:r>
        <w:rPr>
          <w:rFonts w:ascii="Arial" w:cs="Arial" w:eastAsia="Arial" w:hAnsi="Arial"/>
          <w:sz w:val="24"/>
          <w:szCs w:val="24"/>
        </w:rPr>
        <w:t xml:space="preserve">- усиление санкций против основного торгового партнера Российской Федерации и ответные меры России против США могут замедлить экономику России (вступление в силу второго пакета ограничительных мер, введенных США против России из-за "дела Скрипалей" 26 августа 2019 года. Они касаются госдолга РФ и содержат также требование к международным организациям, таким как Всемирный банк и Международный валютный фонд, не кредитовать Москву. Кроме того, американские банки не смогут участвовать в первичном размещении российского суверенного долга, номинированного не в российской валюте, а также кредитовать российское правительство в иных валютах, кроме рубля) и привести к дальнейшему удешевлению рубля, повышению инфляции, проблемам в финансовом секторе и сокращению внешней торговли, что окажет негативный эффект на национальную экономику (воздействие через сокращение внешнего спроса, каналы денежных переводов, прямые иностранные инвестиции, обменный курс);</w:t>
      </w:r>
    </w:p>
    <w:p>
      <w:pPr>
        <w:spacing w:after="60"/>
        <w:ind w:firstLine="567"/>
        <w:jc w:val="both"/>
      </w:pPr>
      <w:r>
        <w:rPr>
          <w:rFonts w:ascii="Arial" w:cs="Arial" w:eastAsia="Arial" w:hAnsi="Arial"/>
          <w:sz w:val="24"/>
          <w:szCs w:val="24"/>
        </w:rPr>
        <w:t xml:space="preserve">- возможное изменение курса денежно-кредитной политики ведущими мировыми экономиками в среднесрочном периоде может привести к ухудшению мировых финансовых условий,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обострение внешнеэкономической риторики в отношении России может привести к росту рисков для инвесторов, соответственно к сокращению прямых иностранных инвестиций в страну и оттоку капитала в 2019-2020 годах (справочно: Банк России повысил прогноз по чистому вывозу капитала из России, по прогнозам Центрального банка Российской Федерации, в 2019 году отток капитала составит до 50 млрд. долл. США, в 2020 году - до 22 млрд. долл. США, в 2021 году - до 13 млрд. долл. США);</w:t>
      </w:r>
    </w:p>
    <w:p>
      <w:pPr>
        <w:spacing w:after="60"/>
        <w:ind w:firstLine="567"/>
        <w:jc w:val="both"/>
      </w:pPr>
      <w:r>
        <w:rPr>
          <w:rFonts w:ascii="Arial" w:cs="Arial" w:eastAsia="Arial" w:hAnsi="Arial"/>
          <w:sz w:val="24"/>
          <w:szCs w:val="24"/>
        </w:rPr>
        <w:t xml:space="preserve">- неблагоприятная демографическая ситуация (Беларусь, Россия) и миграция населения (Кыргызская Республика) в долгосрочной перспективе может снизить количество рабочей силы;</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объемов внешней торговли из-за борьбы с теневым оборотом наличных и товаров на российских рынках (в РФ объявлен новый "крестовый поход" против рынков (с 11 марта 2019 года) для проработки соответствующих мер для выявления серых схем контрабандных товаров, которые идут через Кыргызстан и Казахстан);</w:t>
      </w:r>
    </w:p>
    <w:p>
      <w:pPr>
        <w:spacing w:after="60"/>
        <w:ind w:firstLine="567"/>
        <w:jc w:val="both"/>
      </w:pPr>
      <w:r>
        <w:rPr>
          <w:rFonts w:ascii="Arial" w:cs="Arial" w:eastAsia="Arial" w:hAnsi="Arial"/>
          <w:sz w:val="24"/>
          <w:szCs w:val="24"/>
        </w:rPr>
        <w:t xml:space="preserve">- введение с 16 апреля 2019 года в России лимита на денежные переводы для борьбы с теневыми операциями (на перевод денег в Кыргызстан, Вьетнам, Китай введены ограничения на сумму 100 тыс. руб. в месяц, а для денежных переводов в Казахстан установлен лимит - 150 тыс. руб., что может повлечь за собой снижение притока денежных переводов в страну);</w:t>
      </w:r>
    </w:p>
    <w:p>
      <w:pPr>
        <w:spacing w:after="60"/>
        <w:ind w:firstLine="567"/>
        <w:jc w:val="both"/>
      </w:pPr>
      <w:r>
        <w:rPr>
          <w:rFonts w:ascii="Arial" w:cs="Arial" w:eastAsia="Arial" w:hAnsi="Arial"/>
          <w:sz w:val="24"/>
          <w:szCs w:val="24"/>
        </w:rPr>
        <w:t xml:space="preserve">- волатильность цен на сырьевые товары, составляющие основу экспорта (цены на золото);</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 (теплая и малоснежная зима, возможное ранее/позднее наступление весны, наступление феномена "Эль-Ниньо" (резкое повышение температуры поверхностного слоя воды на востоке Тихого океана), что повлечет за собой аномальную жару, засуху, наводнения по всему миру);</w:t>
      </w:r>
    </w:p>
    <w:p>
      <w:pPr>
        <w:spacing w:after="60"/>
        <w:ind w:firstLine="567"/>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 за 2017 год составил 23,6%);</w:t>
      </w:r>
    </w:p>
    <w:p>
      <w:pPr>
        <w:spacing w:after="60"/>
        <w:ind w:firstLine="567"/>
        <w:jc w:val="both"/>
      </w:pPr>
      <w:r>
        <w:rPr>
          <w:rFonts w:ascii="Arial" w:cs="Arial" w:eastAsia="Arial" w:hAnsi="Arial"/>
          <w:sz w:val="24"/>
          <w:szCs w:val="24"/>
        </w:rPr>
        <w:t xml:space="preserve">- сохранение высокого уровня государственного долга (по итогам 2018 года соотношение государственного долга к ВВП составило 56,0%),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а также возможных рисков распространения кризисных явлений может оказывать влияние на устойчивое экономическое развитие Кыргызской Республики.</w:t>
      </w:r>
    </w:p>
    <w:p>
      <w:pPr>
        <w:spacing w:after="200" w:before="200"/>
        <w:jc w:val="center"/>
      </w:pPr>
      <w:r>
        <w:rPr>
          <w:rFonts w:ascii="Arial" w:cs="Arial" w:eastAsia="Arial" w:hAnsi="Arial"/>
          <w:b/>
          <w:bCs/>
          <w:sz w:val="24"/>
          <w:szCs w:val="24"/>
        </w:rPr>
        <w:t xml:space="preserve">5. Пересмотр параметров прогноза социально-экономического развития на среднесрочный период</w:t>
      </w:r>
    </w:p>
    <w:p>
      <w:pPr>
        <w:spacing w:after="60"/>
        <w:ind w:firstLine="567"/>
        <w:jc w:val="both"/>
      </w:pPr>
      <w:r>
        <w:rPr>
          <w:rFonts w:ascii="Arial" w:cs="Arial" w:eastAsia="Arial" w:hAnsi="Arial"/>
          <w:sz w:val="24"/>
          <w:szCs w:val="24"/>
        </w:rPr>
        <w:t xml:space="preserve">Для достижения ориентиров, заложенных в Бюджетной резолюции Кыргызской Республики на 2020 год и прогнозе на 2021-2022 годы (постановление Жогорку Кенеша Кыргызской Республики от 16 мая 2019 года № 3057-VI), произведен пересчет макроэкономических параметров прогноза социально-экономического развития на 2019-2022 годы, утвержденных постановлением Правительства Кыргызской Республики от 3 июня 2019 года № 270. Данные макроэкономические параметры были рассмотрены технической группой по финансовому программированию (представители Министерства экономики Кыргызской Республики,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Социального фонда Кыргызской Республики), и обобщенные результаты представлены на заседании Координационного совета по макроэкономической и инвестиционной политике при Правительстве Кыргызской Республики (далее - Координационный совет) для одобрения макроэкономических параметров.</w:t>
      </w:r>
    </w:p>
    <w:p>
      <w:pPr>
        <w:spacing w:after="60"/>
        <w:ind w:firstLine="567"/>
        <w:jc w:val="both"/>
      </w:pPr>
      <w:r>
        <w:rPr>
          <w:rFonts w:ascii="Arial" w:cs="Arial" w:eastAsia="Arial" w:hAnsi="Arial"/>
          <w:sz w:val="24"/>
          <w:szCs w:val="24"/>
        </w:rPr>
        <w:t xml:space="preserve">Прогноз подготовлен с учетом предполагаемого в ноябре 2019 года пересчета показателей Национального статистического комитета Кыргызской Республики (далее - Нацстаткомитет) по уточнению данных за 2018 год, который интегрирован в расчетные показатели 2019 года.</w:t>
      </w:r>
    </w:p>
    <w:p>
      <w:pPr>
        <w:spacing w:after="60"/>
        <w:ind w:firstLine="567"/>
        <w:jc w:val="both"/>
      </w:pPr>
      <w:r>
        <w:rPr>
          <w:rFonts w:ascii="Arial" w:cs="Arial" w:eastAsia="Arial" w:hAnsi="Arial"/>
          <w:sz w:val="24"/>
          <w:szCs w:val="24"/>
        </w:rPr>
        <w:t xml:space="preserve">Учитывая целевые макроэкономические ориентиры, заложенные в Программе развития Кыргызской Республики, где в среднесрочной перспективе необходимо обеспечить динамичное развитие экономики (не менее 4,0%) и стабильный рост доходов населения, а также в Бюджетной резолюции Кыргызской Республики на 2020 год и прогнозе на 2021-2022 годы, в результате обсуждения на заседании Координационного совета, одобрены макроэкономические параметры оптимистичного сценария социально-экономического развития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(протокол заседания Координационного совета по макроэкономической и инвестиционной политике при Правительстве Кыргызской Республики от 6 августа 2019 года № 16-147).</w:t>
      </w:r>
    </w:p>
    <w:p>
      <w:pPr>
        <w:spacing w:after="60"/>
        <w:ind w:firstLine="567"/>
        <w:jc w:val="both"/>
      </w:pPr>
      <w:r>
        <w:rPr>
          <w:rFonts w:ascii="Arial" w:cs="Arial" w:eastAsia="Arial" w:hAnsi="Arial"/>
          <w:sz w:val="24"/>
          <w:szCs w:val="24"/>
        </w:rPr>
        <w:t xml:space="preserve">Оптимистичный сценарий основан на достижение ориентиров путем реализации всех мероприятий, заложенных в планах Правительства Кыргызской Республики, национальных инвестиционных проектах, а также ввода в действие простаивающих предприятий и полной загрузки их производственных мощностей.</w:t>
      </w:r>
    </w:p>
    <w:p>
      <w:pPr>
        <w:spacing w:after="60"/>
        <w:ind w:firstLine="567"/>
        <w:jc w:val="both"/>
      </w:pPr>
      <w:r>
        <w:rPr>
          <w:rFonts w:ascii="Arial" w:cs="Arial" w:eastAsia="Arial" w:hAnsi="Arial"/>
          <w:sz w:val="24"/>
          <w:szCs w:val="24"/>
        </w:rPr>
        <w:t xml:space="preserve">Реализация оптимистичного сценария развития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выявление резервов и обеспечение их выполнения всеми органами государственного управления.</w:t>
      </w:r>
    </w:p>
    <w:p>
      <w:pPr>
        <w:spacing w:after="200" w:before="200"/>
        <w:jc w:val="center"/>
      </w:pPr>
      <w:r>
        <w:rPr>
          <w:rFonts w:ascii="Arial" w:cs="Arial" w:eastAsia="Arial" w:hAnsi="Arial"/>
          <w:b/>
          <w:bCs/>
          <w:sz w:val="24"/>
          <w:szCs w:val="24"/>
        </w:rPr>
        <w:t xml:space="preserve">6. Макроэкономические показатели, ожидаемые в 2019 году</w:t>
      </w:r>
    </w:p>
    <w:p>
      <w:pPr>
        <w:spacing w:after="60"/>
        <w:ind w:firstLine="567"/>
        <w:jc w:val="both"/>
      </w:pPr>
      <w:r>
        <w:rPr>
          <w:rFonts w:ascii="Arial" w:cs="Arial" w:eastAsia="Arial" w:hAnsi="Arial"/>
          <w:sz w:val="24"/>
          <w:szCs w:val="24"/>
        </w:rPr>
        <w:t xml:space="preserve">Основные направления и меры политик на 2019 год будут реализовываться в соответствии с ориентирами, отраженными в Программе развития Кыргызской Республики,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утвержденном постановлением Правительства Кыргызской Республики и Национального банка Кыргызской Республики от 15 марта 2019 года № 125-07/3-2).</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Развитие регионов, в рамках объявленного года развития регионов,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Будут реализованы программы развития отобранных 20 опорных городов-точек роста, которые станут локомотивом развития регионов, для реализации которых из государственного бюджета будет выделено 2 млрд. сомов, которые будут направлены на развитие инфраструктуры отобранных городов и создание привлекательной бизнес-среды.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(1) устойчивая работа предприятий по разработке месторождения Кумтор (пересмотрен производственный план в сторону увеличения до 535-565 тыс. унций, чем ранее запланированный - 475 тыс. унций, и при этом в расчет принят верхний предел объема производства), добыча полезных ископаемых (наращиваются объемы добычи угля и сырой нефти, руды и концентраты сурьмянистые), производство строительных материалов (за счет вновь введенных предприятий по производству цемента) и энергетики; (2) ожидаемый рост в сельском хозяйстве за счет: увеличения посевных площадей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ожидаемого эффекта от ранее предоставленных льготных кредитов по программам "Доступные кредиты фермерам" и продолжении программы льготного кредитования фермеров в рамках программы "Финансирование сельского хозяйства-7"; (3) продолжение и запуск крупных национальных проектов через привлечение иностранных инвестиций, в том числе прямых; (4) наращивание объемов жилищного строительства за счет средств населения и реализации программы ипотечного кредитования; (5) ускорение процесса поэтапного строительства промышленных объектов; (6) ожидаемое восстановление темпов роста отраслей, оказывающих услуги, за счет стабильного роста внутреннего потребления и поступлений денежных переводов; (7) создание благоприятной бизнес-среды; (8) оптимизация системы государственного управления; и другие.</w:t>
      </w:r>
    </w:p>
    <w:p>
      <w:pPr>
        <w:spacing w:after="60"/>
        <w:ind w:firstLine="567"/>
        <w:jc w:val="both"/>
      </w:pPr>
      <w:r>
        <w:rPr>
          <w:rFonts w:ascii="Arial" w:cs="Arial" w:eastAsia="Arial" w:hAnsi="Arial"/>
          <w:sz w:val="24"/>
          <w:szCs w:val="24"/>
        </w:rPr>
        <w:t xml:space="preserve">Работа по этим направлениям активно будет продвигаться в рамках Плана действий Правительства Кыргызской Республики на 2019 год, утвержденного постановлением Правительства Кыргызской Республики от 29 марта 2019 года № 141. Подавляющая часть мероприятий Плана сфокусирована на снятии барьеров и улучшении среды для бизнеса.</w:t>
      </w:r>
    </w:p>
    <w:p>
      <w:pPr>
        <w:spacing w:after="60"/>
        <w:ind w:firstLine="567"/>
        <w:jc w:val="both"/>
      </w:pPr>
      <w:r>
        <w:rPr>
          <w:rFonts w:ascii="Arial" w:cs="Arial" w:eastAsia="Arial" w:hAnsi="Arial"/>
          <w:sz w:val="24"/>
          <w:szCs w:val="24"/>
        </w:rPr>
        <w:t xml:space="preserve">Главной целью экономической политики Правительства на 2019 год будет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Обеспечение реального темпа прироста ВВП не ниже 4%, посредством поиска дополнительных резервов экономического роста ожидается за счет роста производства сельского хозяйства на 3,0%, строительного сектора - на 9,0%, сектора услуг - на 2,9%, промышленности - на 5,1%.</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2019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112910,3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67846,7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54597,0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280743,7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84489,8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Ожидаемый экономический прирост на уровне 4,0% будет обеспечиваться положительным вкладом в ВВП всех отраслей экономики, в том числе вклад сельского хозяйства ожидается на уровне 0,35 процентных пункта, строительной отрасли - 0,79 процентных пункта, отраслей, оказывающих услуги - 1,36 процентных пункта, промышленности - 0,95 процентного пункта.</w:t>
      </w:r>
    </w:p>
    <w:p>
      <w:pPr>
        <w:spacing w:after="60"/>
        <w:ind w:firstLine="567"/>
        <w:jc w:val="both"/>
      </w:pPr>
      <w:r>
        <w:rPr>
          <w:rFonts w:ascii="Arial" w:cs="Arial" w:eastAsia="Arial" w:hAnsi="Arial"/>
          <w:sz w:val="24"/>
          <w:szCs w:val="24"/>
        </w:rPr>
        <w:t xml:space="preserve">В результате произведенных пересчетов, в 2019 году номинальный объем ВВП ожидается в сумме 600,6 млрд. сомов. Сложился низкий уровень дефлятора ВВП в 2018 году (101,5%) и ожидается умеренный рост в течение 2019-2020 гг.</w:t>
      </w:r>
    </w:p>
    <w:p>
      <w:pPr>
        <w:spacing w:after="60"/>
        <w:ind w:firstLine="567"/>
        <w:jc w:val="both"/>
      </w:pPr>
      <w:r>
        <w:rPr>
          <w:rFonts w:ascii="Arial" w:cs="Arial" w:eastAsia="Arial" w:hAnsi="Arial"/>
          <w:sz w:val="24"/>
          <w:szCs w:val="24"/>
        </w:rPr>
        <w:t xml:space="preserve">Причины низкого уровня дефлятора связаны с тем, что:</w:t>
      </w:r>
    </w:p>
    <w:p>
      <w:pPr>
        <w:spacing w:after="60"/>
        <w:ind w:firstLine="567"/>
        <w:jc w:val="both"/>
      </w:pPr>
      <w:r>
        <w:rPr>
          <w:rFonts w:ascii="Arial" w:cs="Arial" w:eastAsia="Arial" w:hAnsi="Arial"/>
          <w:sz w:val="24"/>
          <w:szCs w:val="24"/>
        </w:rPr>
        <w:t xml:space="preserve">- индексы цен в сфере услуг находятся в пределах ожидаемого среднегодового уровня инфляции;</w:t>
      </w:r>
    </w:p>
    <w:p>
      <w:pPr>
        <w:spacing w:after="60"/>
        <w:ind w:firstLine="567"/>
        <w:jc w:val="both"/>
      </w:pPr>
      <w:r>
        <w:rPr>
          <w:rFonts w:ascii="Arial" w:cs="Arial" w:eastAsia="Arial" w:hAnsi="Arial"/>
          <w:sz w:val="24"/>
          <w:szCs w:val="24"/>
        </w:rPr>
        <w:t xml:space="preserve">- индексы цен, производящих товары, находятся ниже складываемого среднегодового уровня инфляции (в 2018 году - 98,1%, а за 8 месяцев 2019 года - 100,6%);</w:t>
      </w:r>
    </w:p>
    <w:p>
      <w:pPr>
        <w:spacing w:after="60"/>
        <w:ind w:firstLine="567"/>
        <w:jc w:val="both"/>
      </w:pPr>
      <w:r>
        <w:rPr>
          <w:rFonts w:ascii="Arial" w:cs="Arial" w:eastAsia="Arial" w:hAnsi="Arial"/>
          <w:sz w:val="24"/>
          <w:szCs w:val="24"/>
        </w:rPr>
        <w:t xml:space="preserve">- либеральный торговый режим республики привел к насыщению рынка и снижению цен на продовольственные и непродовольственные товары и оказывает негативное влияние на формирование цен на продукцию;</w:t>
      </w:r>
    </w:p>
    <w:p>
      <w:pPr>
        <w:spacing w:after="60"/>
        <w:ind w:firstLine="567"/>
        <w:jc w:val="both"/>
      </w:pPr>
      <w:r>
        <w:rPr>
          <w:rFonts w:ascii="Arial" w:cs="Arial" w:eastAsia="Arial" w:hAnsi="Arial"/>
          <w:sz w:val="24"/>
          <w:szCs w:val="24"/>
        </w:rPr>
        <w:t xml:space="preserve">- отсутствие повышательного влияния на внутренние цены со стороны мировых продовольственных рынков.</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 гор. Бишкек, Чуйской, Иссык-Кульской и Джалал-Абадской областей, с удельным весом 78,4%, суммарный вклад которых в рост ВВП республики составит 3,23 процентных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Ошская, Баткенская, Нарынская, Таласская и город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Вклады регионов в производство ВВП</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8"/>
        <w:gridCol w:w="1309"/>
        <w:gridCol w:w="1309"/>
        <w:gridCol w:w="1328"/>
        <w:gridCol w:w="1328"/>
        <w:gridCol w:w="1328"/>
        <w:gridCol w:w="1328"/>
      </w:tblGrid>
      <w:tr>
        <w:tc>
          <w:tcPr>
            <w:tcW w:type="dxa" w:w="2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оценка</w:t>
            </w:r>
          </w:p>
        </w:tc>
        <w:tc>
          <w:tcPr>
            <w:tcW w:type="dxa" w:w="5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поэтому среднегодовой уровень инфляции ожидается на уровне 101,3%.</w:t>
      </w:r>
    </w:p>
    <w:p>
      <w:pPr>
        <w:spacing w:after="60"/>
        <w:ind w:firstLine="567"/>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ожидается в размере 97,0 тыс. сомов и увеличится на 4,3%;</w:t>
      </w:r>
    </w:p>
    <w:p>
      <w:pPr>
        <w:spacing w:after="60"/>
        <w:ind w:firstLine="567"/>
        <w:jc w:val="both"/>
      </w:pPr>
      <w:r>
        <w:rPr>
          <w:rFonts w:ascii="Arial" w:cs="Arial" w:eastAsia="Arial" w:hAnsi="Arial"/>
          <w:sz w:val="24"/>
          <w:szCs w:val="24"/>
        </w:rPr>
        <w:t xml:space="preserve">- ожидается номинальный рост денежных доходов на 4,7%, а с учетом ожидаемого роста потребительских цен - на 3,4%;</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4,1%, а ее реальный размер с учетом роста потребительских цен - на 2,8%;</w:t>
      </w:r>
    </w:p>
    <w:p>
      <w:pPr>
        <w:spacing w:after="60"/>
        <w:ind w:firstLine="567"/>
        <w:jc w:val="both"/>
      </w:pPr>
      <w:r>
        <w:rPr>
          <w:rFonts w:ascii="Arial" w:cs="Arial" w:eastAsia="Arial" w:hAnsi="Arial"/>
          <w:sz w:val="24"/>
          <w:szCs w:val="24"/>
        </w:rPr>
        <w:t xml:space="preserve">- размер прожиточного минимума ожидается на уровне 4854,8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3,1;</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6,0% в 2019 году, снизившись на 0,2 процентных пункта по сравнению с 2018 годом.</w:t>
      </w:r>
    </w:p>
    <w:p>
      <w:pPr>
        <w:spacing w:after="200" w:before="200"/>
        <w:jc w:val="center"/>
      </w:pPr>
      <w:r>
        <w:rPr>
          <w:rFonts w:ascii="Arial" w:cs="Arial" w:eastAsia="Arial" w:hAnsi="Arial"/>
          <w:b/>
          <w:bCs/>
          <w:sz w:val="24"/>
          <w:szCs w:val="24"/>
        </w:rPr>
        <w:t xml:space="preserve">7. Макроэкономический прогноз на 2020 год</w:t>
      </w:r>
    </w:p>
    <w:p>
      <w:pPr>
        <w:spacing w:after="60" w:before="200"/>
        <w:ind w:firstLine="567"/>
        <w:jc w:val="left"/>
      </w:pPr>
      <w:r>
        <w:rPr>
          <w:rFonts w:ascii="Arial" w:cs="Arial" w:eastAsia="Arial" w:hAnsi="Arial"/>
          <w:b/>
          <w:bCs/>
          <w:sz w:val="24"/>
          <w:szCs w:val="24"/>
        </w:rPr>
        <w:t xml:space="preserve">7.1.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2020 год является закрепление положительной динамики экономического роста и создание базиса для устойчивого экономического развития страны. Достижение этих целей предусматривает реализацию мер по следующим направлениям: 1) создание благоприятных макроэкономических условий;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Приоритетной задачей Правительства будет оставаться успешная и своевременная реализация Программы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направленной на укрепление экономики, усиление потенциала и развитие производства, а также улучшение качества и благосостояние народа.</w:t>
      </w:r>
    </w:p>
    <w:p>
      <w:pPr>
        <w:spacing w:after="60"/>
        <w:ind w:firstLine="567"/>
        <w:jc w:val="both"/>
      </w:pPr>
      <w:r>
        <w:rPr>
          <w:rFonts w:ascii="Arial" w:cs="Arial" w:eastAsia="Arial" w:hAnsi="Arial"/>
          <w:sz w:val="24"/>
          <w:szCs w:val="24"/>
        </w:rPr>
        <w:t xml:space="preserve">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4"/>
          <w:szCs w:val="24"/>
        </w:rPr>
        <w:t xml:space="preserve">Будут обеспечены гарантии инвесторам, малому и среднему бизнесу будут разработаны механизмы для доступа к финансовым ресурсам на долгосрочный период, расширены возможности гарантийного фонда.</w:t>
      </w:r>
    </w:p>
    <w:p>
      <w:pPr>
        <w:spacing w:after="60"/>
        <w:ind w:firstLine="567"/>
        <w:jc w:val="both"/>
      </w:pPr>
      <w:r>
        <w:rPr>
          <w:rFonts w:ascii="Arial" w:cs="Arial" w:eastAsia="Arial" w:hAnsi="Arial"/>
          <w:sz w:val="24"/>
          <w:szCs w:val="24"/>
        </w:rPr>
        <w:t xml:space="preserve">Будет разработан комплекс мер по трансформации и легализации теневого сектора экономики. Меры, направленные на снижение уровня теневой экономики страны, позволят увеличить доходную часть государственного бюджета, развивать конкурентную и предпринимательскую среду, уменьшить долю кредитных средств в экономике страны, а также повысить инвестиционную привлекательность Кыргызской Республики.</w:t>
      </w:r>
    </w:p>
    <w:p>
      <w:pPr>
        <w:spacing w:after="60"/>
        <w:ind w:firstLine="567"/>
        <w:jc w:val="both"/>
      </w:pPr>
      <w:r>
        <w:rPr>
          <w:rFonts w:ascii="Arial" w:cs="Arial" w:eastAsia="Arial" w:hAnsi="Arial"/>
          <w:sz w:val="24"/>
          <w:szCs w:val="24"/>
        </w:rPr>
        <w:t xml:space="preserve">Экономическое развитие в 2020 году и прогнозируемом горизонте (2021-2022 годы) будет строиться на гипотезе продолжения влияния как внешних, так и внутренних факторов на развитие национальной экономики. Ожидается сохранение тренда во внешнеэкономических показателях в связи со стабилизацией экономик в регионе, умеренного роста ВВП. Открытость экономики Кыргызской Республики и зависимость ее от транзитной торговли и внешней помощи позволяет рискам/шокам, при которых происходит развитие основных стратегических партнеров, оказывать непосредственное влияние на национальную экономику страны.</w:t>
      </w:r>
    </w:p>
    <w:p>
      <w:pPr>
        <w:spacing w:after="60" w:before="200"/>
        <w:ind w:firstLine="567"/>
        <w:jc w:val="left"/>
      </w:pPr>
      <w:r>
        <w:rPr>
          <w:rFonts w:ascii="Arial" w:cs="Arial" w:eastAsia="Arial" w:hAnsi="Arial"/>
          <w:b/>
          <w:bCs/>
          <w:sz w:val="24"/>
          <w:szCs w:val="24"/>
        </w:rPr>
        <w:t xml:space="preserve">7.2.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4"/>
          <w:szCs w:val="24"/>
        </w:rPr>
        <w:t xml:space="preserve">Политика Национального банка будет нацелена на обеспечение ценовой стабильности в стране в пределах 5,0-7,0% в среднесрочном периоде.</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предприняты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способствованию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экономику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7.3. Налоговая политика</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и проводиться в рамках Концепции фискальной политики в Кыргызской Республике на 2015-2020 годы, утвержденной постановлением Правительства Кыргызской Республики от 7 июля 2015 года № 455, а также заложенных Правительством мер в программных документах.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направленная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Основными задачами налоговой политики будут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создание современной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before="200"/>
        <w:ind w:firstLine="567"/>
        <w:jc w:val="left"/>
      </w:pPr>
      <w:r>
        <w:rPr>
          <w:rFonts w:ascii="Arial" w:cs="Arial" w:eastAsia="Arial" w:hAnsi="Arial"/>
          <w:b/>
          <w:bCs/>
          <w:sz w:val="24"/>
          <w:szCs w:val="24"/>
        </w:rPr>
        <w:t xml:space="preserve">7.4.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Стратегией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утвержденными постановлением Правительства Кыргызской Республики от 23 августа 2018 года № 397,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своевременность учета и финансовой отчетности;</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В среднесрочной перспективе принимаемые меры по созданию благоприятных условий для предпринимательства и запуску новых производственных мощностей в отраслях экономики (например, запуск заводов по производству цемента, сборке электромобилей, технополисов и др.), вводу в эксплуатацию новых месторождений таких, как Джеруй и Чаарат,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и др. позволят увеличить поступления в доходную часть государственного бюджета. Исходя из этого, показатель доли налоговых доходов к ВВП на 2020 год прогнозируется на уровне 22,0%.</w:t>
      </w:r>
    </w:p>
    <w:p>
      <w:pPr>
        <w:spacing w:after="60" w:before="200"/>
        <w:ind w:firstLine="567"/>
        <w:jc w:val="left"/>
      </w:pPr>
      <w:r>
        <w:rPr>
          <w:rFonts w:ascii="Arial" w:cs="Arial" w:eastAsia="Arial" w:hAnsi="Arial"/>
          <w:b/>
          <w:bCs/>
          <w:sz w:val="24"/>
          <w:szCs w:val="24"/>
        </w:rPr>
        <w:t xml:space="preserve">7.5. Бюджет развития</w:t>
      </w:r>
    </w:p>
    <w:p>
      <w:pPr>
        <w:spacing w:after="60"/>
        <w:ind w:firstLine="567"/>
        <w:jc w:val="both"/>
      </w:pPr>
      <w:r>
        <w:rPr>
          <w:rFonts w:ascii="Arial" w:cs="Arial" w:eastAsia="Arial" w:hAnsi="Arial"/>
          <w:sz w:val="24"/>
          <w:szCs w:val="24"/>
        </w:rPr>
        <w:t xml:space="preserve">В 2020 году из республиканского бюджета по статье "Капитальные вложения" предусмотрены средства в сумме 3,0 млрд.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городов Бишкек и Ош, в рамках развития регионов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Кыргызской Республики на 2017-2026 годы, утвержденной постановлением Правительства Кыргызской Республики от 21 июля 2017 года № 440,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 (4825 га с ориентировочной стоимостью 6065 млн. сомов).</w:t>
      </w:r>
    </w:p>
    <w:p>
      <w:pPr>
        <w:spacing w:after="60"/>
        <w:ind w:firstLine="567"/>
        <w:jc w:val="both"/>
      </w:pPr>
      <w:r>
        <w:rPr>
          <w:rFonts w:ascii="Arial" w:cs="Arial" w:eastAsia="Arial" w:hAnsi="Arial"/>
          <w:sz w:val="24"/>
          <w:szCs w:val="24"/>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более 30,0 млрд. сомов. При этом доля внешнего финансирования за счет займов и грантов составит 96% от общей суммы финансирования, на софинансирование проектов государственных инвестиций будет использовано 4%.</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около 90% всего финансирования,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финансирование социального сектора будет направлено около 10% от общего объема финансирования.</w:t>
      </w:r>
    </w:p>
    <w:p>
      <w:pPr>
        <w:spacing w:after="60" w:before="200"/>
        <w:ind w:firstLine="567"/>
        <w:jc w:val="left"/>
      </w:pPr>
      <w:r>
        <w:rPr>
          <w:rFonts w:ascii="Arial" w:cs="Arial" w:eastAsia="Arial" w:hAnsi="Arial"/>
          <w:b/>
          <w:bCs/>
          <w:sz w:val="24"/>
          <w:szCs w:val="24"/>
        </w:rPr>
        <w:t xml:space="preserve">7.6.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в 2020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Программы развития государственно-частного партнерства в Кыргызской Республике на 2016-2021 годы, утвержденной постановлением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Основными задачами инвестиционной политики в 2020 году будут:</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реализации инвестиционных лотов в стране;</w:t>
      </w:r>
    </w:p>
    <w:p>
      <w:pPr>
        <w:spacing w:after="60"/>
        <w:ind w:firstLine="567"/>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60"/>
        <w:ind w:firstLine="567"/>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60"/>
        <w:ind w:firstLine="567"/>
        <w:jc w:val="both"/>
      </w:pPr>
      <w:r>
        <w:rPr>
          <w:rFonts w:ascii="Arial" w:cs="Arial" w:eastAsia="Arial" w:hAnsi="Arial"/>
          <w:sz w:val="24"/>
          <w:szCs w:val="24"/>
        </w:rPr>
        <w:t xml:space="preserve">- создание крупных национальных корпораций по управлению государственными активами для привлечения инвестиций;</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разработка бизнес-планов и технико-экономических обоснований для инвестиционных проектов со стороны уполномоченного органа по продвижению инвестиций;</w:t>
      </w:r>
    </w:p>
    <w:p>
      <w:pPr>
        <w:spacing w:after="60"/>
        <w:ind w:firstLine="567"/>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7.7.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создания условий 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утвержденной постановлением Правительства Кыргызской Республики от 6 июля 2017 года № 424, и Концепции научно-инновационного развития Кыргызской Республики на период до 2022 года, утвержденной постановлением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Будет реализовываться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повышению информированности общества о роли и значении интеллектуальной собственности.</w:t>
      </w:r>
    </w:p>
    <w:p>
      <w:pPr>
        <w:spacing w:after="60" w:before="200"/>
        <w:ind w:firstLine="567"/>
        <w:jc w:val="left"/>
      </w:pPr>
      <w:r>
        <w:rPr>
          <w:rFonts w:ascii="Arial" w:cs="Arial" w:eastAsia="Arial" w:hAnsi="Arial"/>
          <w:b/>
          <w:bCs/>
          <w:sz w:val="24"/>
          <w:szCs w:val="24"/>
        </w:rPr>
        <w:t xml:space="preserve">7.8.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4"/>
          <w:szCs w:val="24"/>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left"/>
      </w:pPr>
      <w:r>
        <w:rPr>
          <w:rFonts w:ascii="Arial" w:cs="Arial" w:eastAsia="Arial" w:hAnsi="Arial"/>
          <w:b/>
          <w:bCs/>
          <w:sz w:val="24"/>
          <w:szCs w:val="24"/>
        </w:rPr>
        <w:t xml:space="preserve">7.9. Прогноз структуры экономического роста</w:t>
      </w:r>
    </w:p>
    <w:p>
      <w:pPr>
        <w:spacing w:after="60" w:before="200"/>
        <w:ind w:firstLine="567"/>
        <w:jc w:val="left"/>
      </w:pPr>
      <w:r>
        <w:rPr>
          <w:rFonts w:ascii="Arial" w:cs="Arial" w:eastAsia="Arial" w:hAnsi="Arial"/>
          <w:b/>
          <w:bCs/>
          <w:sz w:val="24"/>
          <w:szCs w:val="24"/>
        </w:rPr>
        <w:t xml:space="preserve">7.9.1. ВВП производственным методом</w:t>
      </w:r>
    </w:p>
    <w:p>
      <w:pPr>
        <w:spacing w:after="60"/>
        <w:ind w:firstLine="567"/>
        <w:jc w:val="both"/>
      </w:pPr>
      <w:r>
        <w:rPr>
          <w:rFonts w:ascii="Arial" w:cs="Arial" w:eastAsia="Arial" w:hAnsi="Arial"/>
          <w:sz w:val="24"/>
          <w:szCs w:val="24"/>
        </w:rPr>
        <w:t xml:space="preserve">Реализация указанных политик (7.1.-7.8.) позволит обеспечить макроэкономическую стабильность. На основе учета вышеуказанных предпосылок и предположений, экономический рост на 2020 год прогнозируется на уровне 5,0% с номинальным объемом в 667,1 млрд. сомов, а без учета предприятий по разработке месторождения Кумтор - на уровне 5,6%.</w:t>
      </w:r>
    </w:p>
    <w:p>
      <w:pPr>
        <w:spacing w:after="60"/>
        <w:ind w:firstLine="567"/>
        <w:jc w:val="both"/>
      </w:pPr>
      <w:r>
        <w:rPr>
          <w:rFonts w:ascii="Arial" w:cs="Arial" w:eastAsia="Arial" w:hAnsi="Arial"/>
          <w:sz w:val="24"/>
          <w:szCs w:val="24"/>
        </w:rPr>
        <w:t xml:space="preserve">Основные показатели в секторах экономики на 2020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000"/>
        <w:gridCol w:w="1000"/>
        <w:gridCol w:w="1000"/>
        <w:gridCol w:w="1000"/>
        <w:gridCol w:w="1000"/>
        <w:gridCol w:w="1000"/>
        <w:gridCol w:w="1000"/>
        <w:gridCol w:w="1000"/>
      </w:tblGrid>
      <w:tr>
        <w:tc>
          <w:tcPr>
            <w:tcW w:type="dxa" w:w="21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600587,4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112910,3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124080,2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72242,3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54597,0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62167,9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280743,7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314730,3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84489,8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r>
    </w:tbl>
    <w:p>
      <w:pPr>
        <w:spacing w:after="60" w:before="120"/>
        <w:ind w:firstLine="567"/>
        <w:jc w:val="both"/>
      </w:pPr>
      <w:r>
        <w:rPr>
          <w:rFonts w:ascii="Arial" w:cs="Arial" w:eastAsia="Arial" w:hAnsi="Arial"/>
          <w:sz w:val="24"/>
          <w:szCs w:val="24"/>
        </w:rPr>
        <w:t xml:space="preserve">Экономический рост, прогнозируемый на уровне 5,0%,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- 2,01 процентного пункта, а вклады других отраслей будут умеренными: строительства - 1,06 процентного пункта, сельского хозяйства - 0,42 процентного пункта, промышленности - 0,77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- 47,2%, а доля отраслей, производящих товары, - 38,7%.</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Аграрный сектор по-прежнему остается одним из основных секторов экономики в обеспечении продовольственной безопасности страны и занятости населения (более 600 тыс. чел.). Развитие данного сектора позволяет обеспечить промышленные предприятия сырьевыми ресурсами, население - продуктами питания и формированием значительной части добавленной стоимости ВВП.</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(2) повышение конкурентоспособности агропромышленной продукции посредством перспективных факторов рационального размещения производительных сил; (3)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 (5) совершенствование рационального 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развития Кыргызской Республики, а также в следующих программных документах:</w:t>
      </w:r>
    </w:p>
    <w:p>
      <w:pPr>
        <w:spacing w:after="60"/>
        <w:ind w:firstLine="567"/>
        <w:jc w:val="both"/>
      </w:pPr>
      <w:r>
        <w:rPr>
          <w:rFonts w:ascii="Arial" w:cs="Arial" w:eastAsia="Arial" w:hAnsi="Arial"/>
          <w:sz w:val="24"/>
          <w:szCs w:val="24"/>
        </w:rPr>
        <w:t xml:space="preserve">- Концепция развития сельскохозяйственной кооперативной системы в Кыргызской Республике на 2017-2021 годы, утвержденная постановлением Правительства Кыргызской Республики от 21 апреля 2017 года № 237, направленная на развитие сельхозкооперативов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сохранения и повышения плодородия почвы земель сельскохозяйственного назначения в Кыргызской Республике на 2017-2020 годы, утвержденная постановлением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мелиораторов,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годы, утвержденная постановлением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Концепция развития органического сельскохозяйственного производства в Кыргызской Республике на 2017-2022 годы, утвержденная постановлением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4"/>
          <w:szCs w:val="24"/>
        </w:rPr>
        <w:t xml:space="preserve">- Программа по созданию и развитию торгово-логистических центров сельскохозяйственной продукции в Кыргызской Республике на 2019-2023 годы, утвержденная постановлением Правительства 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Кроме того, развитие агропромышленного сектора ориентировано в сторону увеличения доли переработки и экспорта сельскохозяйственной продукции через финансирование сельхозпроизводителей, которое начато еще в 2011 году. Ожидается продолжение проекта "Финансирование сельского хозяйства", который направлен на господдержку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4"/>
          <w:szCs w:val="24"/>
        </w:rPr>
        <w:t xml:space="preserve">Вследствие реализации вышеперечисленных мер, валовой выпуск продукции сельского хозяйства, лесного хозяйства и рыболовства на 2020 год прогнозируется в объеме 226,9 млрд. сомов, а темп реального прироста на уровне 3,7%, за счет прироста в растениеводстве - на 4,9% и животноводстве - на 2,6%.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110"/>
        <w:gridCol w:w="1110"/>
        <w:gridCol w:w="1110"/>
        <w:gridCol w:w="1110"/>
      </w:tblGrid>
      <w:tr>
        <w:tc>
          <w:tcPr>
            <w:tcW w:type="dxa" w:w="57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vMerge w:val="continue"/>
            <w:tcBorders>
              <w:top w:val="single" w:color="CBBF9E" w:sz="4"/>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213086,3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226891,6</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105615,2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113804,1</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102298,6</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107801,8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- 50,0% и 47,5%.</w:t>
      </w:r>
    </w:p>
    <w:p>
      <w:pPr>
        <w:spacing w:after="60"/>
        <w:ind w:firstLine="567"/>
        <w:jc w:val="both"/>
      </w:pPr>
      <w:r>
        <w:rPr>
          <w:rFonts w:ascii="Arial" w:cs="Arial" w:eastAsia="Arial" w:hAnsi="Arial"/>
          <w:sz w:val="24"/>
          <w:szCs w:val="24"/>
        </w:rPr>
        <w:t xml:space="preserve">Прогнозируемые темпы прироста на уровне 4,9% в растениеводстве будут обеспечены за счет повышения урожайности технических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специализации регионов на выращивании тех культур, реализация которых будет иметь наибольший положительный эффект на благосостояние сельхозпроизводителей, улучшения сортов семян, внедрения севооборотов, обновления машинно-тракторного парка, сокращения неиспользованных пахотных земель, улучшения ирригационных сетей. Темп роста, в основном, будет обеспечен за счет увеличения производства: зерновых культур - на 1,5%, за счет увеличения урожайности на 0,4 ц/га; сахарной свеклы - на 0,3%, за счет повышения урожайности до 476,3 ц/га; картофеля - на 3,0%, за счет повышения урожайности до 169,5 ц/га; овощей - на 0,6%, за счет повышения урожайности до 215,5 ц/га; плодов и ягод - на 3,1%, за счет повышения урожайности до 53,6 ц/га.</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на уровне 2,6% будет обеспечен путем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таких как пункты искусственного осеменения, проведение идентификации животных, создание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2,8%, с увеличением на 46,0 тыс. тонн, яиц - на 4,5%, с увеличением на 25,1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2020 году будут влиять следующие предпосылки:</w:t>
      </w:r>
    </w:p>
    <w:p>
      <w:pPr>
        <w:spacing w:after="60"/>
        <w:ind w:firstLine="567"/>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30 млрд. сомов, и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обеспечение фермеров необходимой сельхозтехникой на льготных кредитных условиях путем закупа сельхозтехники по лизингу; решение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открытая граница в страны-члены ЕАЭС, что позволит получить возможность в приобретении необходимых материально-технических ресурсов, минеральные удобрения, средства защиты растений и высокопродуктивных семян, а также возможность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увеличение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снижение продуктивности скота, связанное с ухудшением генофонда, отсутствием качественного корма, барьерами экспорта животноводческой продукции; повышение цен на ГСМ в период проведения весенне-полевых, а также уборочных работ; снижение посевных площадей отдельных культур по причине низкой конкурентоспособности с импортной продукцией; снижение урожайности сельскохозяйственных культур ввиду использования низкокачественных семян, высокой стоимости семян; ухудшение ирригационной сети, рост потерь воды, предназначенной для полива сельскохозяйственных угодий, до 30% и др.</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Основная цель развития промышленности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 В соответствии с Программой развития Кыргызской Республики,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утвержденных постановлением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постановлением Правительства Кыргызской Республики от 18 октября 2017 года № 669.</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70% от общего объема экспорта страны, а объемы поступления иностранных инвестиций в данную отрасль составляют более 50% всех привлеченных инвестиций (почти 3,0 млн. долл. США ежегодно). Промышленность остается важнейшей отраслью экономики с точки зрения отчислений в бюджет (налоговая нагрузка в среднем 20% за последние 5 лет) и обеспечения занятостью (почти 300 тыс. чел.).</w:t>
      </w:r>
    </w:p>
    <w:p>
      <w:pPr>
        <w:spacing w:after="60"/>
        <w:ind w:firstLine="567"/>
        <w:jc w:val="both"/>
      </w:pPr>
      <w:r>
        <w:rPr>
          <w:rFonts w:ascii="Arial" w:cs="Arial" w:eastAsia="Arial" w:hAnsi="Arial"/>
          <w:sz w:val="24"/>
          <w:szCs w:val="24"/>
        </w:rPr>
        <w:t xml:space="preserve">Основными направлениями развития промышленности на среднесрочный период в соответствии с разработанной Стратегией устойчивого развития промышленности Кыргызской Республики на 2019-2023 годы являются: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повышение эффективности производства и конкурентоспособности продукции, содействие промышленному развитию в регионах с учетом международного опыта и специализации каждого региона; развитие эффективности и совершенствование системы высшего и среднего профессионально-технического образования с учетом требований промышленности.</w:t>
      </w:r>
    </w:p>
    <w:p>
      <w:pPr>
        <w:spacing w:after="60"/>
        <w:ind w:firstLine="567"/>
        <w:jc w:val="both"/>
      </w:pPr>
      <w:r>
        <w:rPr>
          <w:rFonts w:ascii="Arial" w:cs="Arial" w:eastAsia="Arial" w:hAnsi="Arial"/>
          <w:sz w:val="24"/>
          <w:szCs w:val="24"/>
        </w:rPr>
        <w:t xml:space="preserve">В настоящее время горная добыча является одной из самых привлекательных сфер для привлечения иностранных инвесторов.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При этом 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и внедрены необходимые требования по экологической безопасности применения недропользователями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производстве Кыргызской Республики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 а также активизацию деятельности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ввода в эксплуатацию новых месторождений Джеруй, Чаарат.</w:t>
      </w:r>
    </w:p>
    <w:p>
      <w:pPr>
        <w:spacing w:after="60"/>
        <w:ind w:firstLine="567"/>
        <w:jc w:val="both"/>
      </w:pPr>
      <w:r>
        <w:rPr>
          <w:rFonts w:ascii="Arial" w:cs="Arial" w:eastAsia="Arial" w:hAnsi="Arial"/>
          <w:sz w:val="24"/>
          <w:szCs w:val="24"/>
        </w:rPr>
        <w:t xml:space="preserve">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4"/>
          <w:szCs w:val="24"/>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ввести в действие новые генерирующие мощности с установленной мощностью 434МВт до 2026 года. Также предусмотрена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промышленности на 2020 год прогнозируется реальный рост объемов производства на 4,6%. Без учета предприятий по разработке месторождения Кумтор, реальный прирост промышленного производства прогнозируется на уровне 9,0%.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4"/>
        <w:gridCol w:w="1116"/>
        <w:gridCol w:w="1189"/>
      </w:tblGrid>
      <w:tr>
        <w:tc>
          <w:tcPr>
            <w:tcW w:type="dxa" w:w="78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вклад промышленности в рост ВВП составит 0,77 процентных пункта, с удельным весом в объеме ВВП 18,6%.</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(75,9%) в производстве промышленной продукции, в 2020 году прогнозируется реальный рост на 4,2%, который обусловлен, в основном, за счет:</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(удельный вес в общем объеме промышленности 12,1%), где прогнозируется прирост на 7,7%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- 4,0%) на 10,0% за счет швейной отрасли, в связи с освоением новых рынков сбыта (рынки государств-членов ЕАЭС), запуска новых предприятий и увеличения экспортных поставок. Планируется проведение мероприятий по реализации инвестиционных проектов общества с ограниченной ответственностью (далее - ОсОО) "Кыргыз Текстиль ЛТД" (гор. Ош), ОсОО "Индустриальный парк "Силк Вей" (Чуйская область), расширение производства ОсОО "Империал Групп" (Чуйская область) и ОсОО "Текстиль Транс" (Чуйская область), где предусматривается создание новых рабочих мест;</w:t>
      </w:r>
    </w:p>
    <w:p>
      <w:pPr>
        <w:spacing w:after="60"/>
        <w:ind w:firstLine="567"/>
        <w:jc w:val="both"/>
      </w:pPr>
      <w:r>
        <w:rPr>
          <w:rFonts w:ascii="Arial" w:cs="Arial" w:eastAsia="Arial" w:hAnsi="Arial"/>
          <w:sz w:val="24"/>
          <w:szCs w:val="24"/>
        </w:rPr>
        <w:t xml:space="preserve">- прироста производства строительных материалов на 6,2% за счет устойчивой производственной деятельности открытого акционерного общества (далее - ОАО) "Интергласс", увеличения объема производства цемента за счет вновь введенных предприятий (Цементный завод ОсОО "Син-Дзи-Прим"; ОсОО "Южный комбинат строительных материалов"), полной реализации инвестиционных проектов в строительстве, а также планируемого запуска в конце 2019 года Кара-Кульского цементного завода ОсОО "Шамшыкал-Ата", мощностью 1300 тыс. тонн цемента/год;</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3,0%), деревянных и бумажных изделий; полиграфической деятельности (на 2,2%), фармацевтической продукции (на 8,5%), резиновых и пластмассовых изделий (на 10,0%), компьютеров, электронного и оптического оборудования (на 3,0%), транспортных средств (на 2,0%) и т.д.;</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на 6,3%;</w:t>
      </w:r>
    </w:p>
    <w:p>
      <w:pPr>
        <w:spacing w:after="60"/>
        <w:ind w:firstLine="567"/>
        <w:jc w:val="both"/>
      </w:pPr>
      <w:r>
        <w:rPr>
          <w:rFonts w:ascii="Arial" w:cs="Arial" w:eastAsia="Arial" w:hAnsi="Arial"/>
          <w:sz w:val="24"/>
          <w:szCs w:val="24"/>
        </w:rPr>
        <w:t xml:space="preserve">- ввода в эксплуатацию месторождения Джеруй, где будут произведены первые объемы производства основных металлов;</w:t>
      </w:r>
    </w:p>
    <w:p>
      <w:pPr>
        <w:spacing w:after="60"/>
        <w:ind w:firstLine="567"/>
        <w:jc w:val="both"/>
      </w:pPr>
      <w:r>
        <w:rPr>
          <w:rFonts w:ascii="Arial" w:cs="Arial" w:eastAsia="Arial" w:hAnsi="Arial"/>
          <w:sz w:val="24"/>
          <w:szCs w:val="24"/>
        </w:rPr>
        <w:t xml:space="preserve">- наращивания объемов производства на месторождении Чаарат, где рост объемов производства основных металлов прогнозируется почти в 2 раза по сравнению с 2019 годом;</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за счет освоения их производственной мощности, где прогнозируется рост на 7,9%.</w:t>
      </w:r>
    </w:p>
    <w:p>
      <w:pPr>
        <w:spacing w:after="60"/>
        <w:ind w:firstLine="567"/>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2019 годом согласно производственному плану предприятия, при расчете учитывается объем на 1,0 т больше производственного плана ЗАО "Кумтор" (523,0 тыс. унций), объем производства основных металлов на предприятии по разработке месторождения Кумтор в 2020 году прогнозируется на уровне 555,0 тыс. унций (17,26 т).</w:t>
      </w:r>
    </w:p>
    <w:p>
      <w:pPr>
        <w:spacing w:after="60"/>
        <w:ind w:firstLine="567"/>
        <w:jc w:val="both"/>
      </w:pPr>
      <w:r>
        <w:rPr>
          <w:rFonts w:ascii="Arial" w:cs="Arial" w:eastAsia="Arial" w:hAnsi="Arial"/>
          <w:sz w:val="24"/>
          <w:szCs w:val="24"/>
        </w:rPr>
        <w:t xml:space="preserve">Начиная с 2020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2020 по 2022 годы предприятие ОАО "Кыргызалтын" не планирует производство в связи с тем, что в настоящее время идут работы по созданию совместного предприятия с потенциальным инвестором на базе филиала Комбинат "Макмалзолото".</w:t>
      </w:r>
    </w:p>
    <w:p>
      <w:pPr>
        <w:spacing w:after="60"/>
        <w:ind w:firstLine="567"/>
        <w:jc w:val="both"/>
      </w:pPr>
      <w:r>
        <w:rPr>
          <w:rFonts w:ascii="Arial" w:cs="Arial" w:eastAsia="Arial" w:hAnsi="Arial"/>
          <w:sz w:val="24"/>
          <w:szCs w:val="24"/>
        </w:rPr>
        <w:t xml:space="preserve">2) В добыче полезных ископаемых (удельный вес 8,1% в объеме промышленного производства) в 2020 году прирост объема производства прогнозируется на уровне 7,0%, в том числе добыча каменного и бурого угля увеличится на 9,0%, металлических руд - на 7,8%, сырой нефти и природного газа - на 3,9%.</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w:t>
      </w:r>
      <w:r>
        <w:rPr>
          <w:rFonts w:ascii="Arial" w:cs="Arial" w:eastAsia="Arial" w:hAnsi="Arial"/>
          <w:sz w:val="24"/>
          <w:szCs w:val="24"/>
        </w:rPr>
        <w:t xml:space="preserve">III</w:t>
      </w:r>
      <w:r>
        <w:rPr>
          <w:rFonts w:ascii="Arial" w:cs="Arial" w:eastAsia="Arial" w:hAnsi="Arial"/>
          <w:sz w:val="24"/>
          <w:szCs w:val="24"/>
        </w:rPr>
        <w:t xml:space="preserve">-го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 дальнейшее развитие мощностей предприятий, разрабатывающих Кавакское буроугольное месторождение, в том числе Кара-Кече и Мин-Куш, расположенных в Нарынской области Кыргызской Республики, с привлечением инвестиций на разработку участка "Центральный" филиала ГП "Кыргызкомур", а также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 а также увеличения экспорта в соседние страны (Китай, Узбекистан и Таджикистан);</w:t>
      </w:r>
    </w:p>
    <w:p>
      <w:pPr>
        <w:spacing w:after="60"/>
        <w:ind w:firstLine="567"/>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14,9%) на 2020 год прогнозируется прирост объемов на 5,1%.</w:t>
      </w:r>
    </w:p>
    <w:p>
      <w:pPr>
        <w:spacing w:after="60"/>
        <w:ind w:firstLine="567"/>
        <w:jc w:val="both"/>
      </w:pPr>
      <w:r>
        <w:rPr>
          <w:rFonts w:ascii="Arial" w:cs="Arial" w:eastAsia="Arial" w:hAnsi="Arial"/>
          <w:sz w:val="24"/>
          <w:szCs w:val="24"/>
        </w:rPr>
        <w:t xml:space="preserve">Выработка электроэнергии на 2020 год прогнозируется в объеме 15986,2 млн. кВтч, которая рассчитана с учетом среднемноголетней приточности реки Нарын в створе Токтогульского гидроузла. При этом, выработка на ТЭЦ гор. Бишкек составит 1721,2 млн. кВтч и возрастет на 381,2 млн. кВтч по сравнению с 2019 годом. Прогнозируемый рост выработки обусловлен вероятным увеличением потребления электроэнергии на внутреннем рынке.</w:t>
      </w:r>
    </w:p>
    <w:p>
      <w:pPr>
        <w:spacing w:after="60"/>
        <w:ind w:firstLine="567"/>
        <w:jc w:val="both"/>
      </w:pPr>
      <w:r>
        <w:rPr>
          <w:rFonts w:ascii="Arial" w:cs="Arial" w:eastAsia="Arial" w:hAnsi="Arial"/>
          <w:sz w:val="24"/>
          <w:szCs w:val="24"/>
        </w:rPr>
        <w:t xml:space="preserve">В предстоящий период продолжится работа по снижению потерь электроэнергии в электрических сетях. В распределительных электроэнергетических компаниях ожидается устойчивое снижение потерь с 12,7% - в 2018 году до 12,1% - к 2020 году. Будет проводиться работа по замене электрооборудования и установке современных систем контроля и учета электроэнергии. Выработка тепловой энергии составит 2950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Всего в 2020 году увеличение поступления природного газа в Кыргызскую Республику прогнозируется на уровне 7,3% по сравнению с 2019 годом, что позволит увеличить объем услуг по распределению газообразного топлива через системы газоснабжения на 6,2%.</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(1,1%), прогнозируется реальный рост на уровне 5,9% за счет роста объемов сбора, обработки и распределения воды (водоснабжение) на 6,0%, сбора, обработки и уничтожения отходов, получения вторичного сырья - на 6,0%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а также неустойчивой работы энергетической отрасли (доля в промышленности 14,9%) из-за влияния природно-климатического фактора.</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высокий уровень объема ненаблюдаемой (скрытой и неформальной) экономики (23,6%), отрасль промышленности занимает больше половины от ее общего уровня.</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2020 году развитие строительной отрасли станет одним из значимых направлений, обеспечивающих устойчивый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9,7%, объемы составят 193,7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0"/>
        <w:gridCol w:w="1387"/>
        <w:gridCol w:w="1387"/>
        <w:gridCol w:w="1387"/>
        <w:gridCol w:w="1387"/>
      </w:tblGrid>
      <w:tr>
        <w:tc>
          <w:tcPr>
            <w:tcW w:type="dxa" w:w="46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173906,6</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191700,2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119010,9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54895,7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169555,8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193068,0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2019 году, изменится в сторону увеличения доли внутренних инвестиций, с 68,4% до 70,0% (основную долю занимают средства предприятий, организаций и населения, составляющие 89,8%), и снижения доли внешних инвестиций, с 31,6% до 30,0%.</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капитальных вложений за счет средств государственного бюджета в сумме 3800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61,7 млрд. сомов будут сформированы за счет инвестиций закрытого акционерного общества (далее - ЗАО) "Кумтор Голд компани" (19344,2 млн. сомов) и др.</w:t>
      </w:r>
    </w:p>
    <w:p>
      <w:pPr>
        <w:spacing w:after="60"/>
        <w:ind w:firstLine="567"/>
        <w:jc w:val="both"/>
      </w:pPr>
      <w:r>
        <w:rPr>
          <w:rFonts w:ascii="Arial" w:cs="Arial" w:eastAsia="Arial" w:hAnsi="Arial"/>
          <w:sz w:val="24"/>
          <w:szCs w:val="24"/>
        </w:rPr>
        <w:t xml:space="preserve">В 2020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15246,9 млн. сомов (более 40,0% от всех государственных инвестиций), которые ожидаются за счет реализации проектов: "Реабилитация автомобильной дороги "Ош-Баткен-Исфана" (Исламский банк развития, 528,7 млн. сомов); "Реабилитация автомобильной дороги "Бишкек-Нарын-Торугарт" (Арабская координационная группа, 296,1 млн. сомов); "Строительство альтернативной автодороги Север-Юг, км 159-183" (Исламский банк развития, Саудовский фонд развития, 423,0 млн. сомов); "Улучшение коридора ЦАРЭС 3 Фаза 4" (Центрально-Азиатское региональное экономическое сотрудничество) (автодорога Бишкек-Ош, участок Бишкек-Кара-Балта) (Азиатский банк развития, 1377,8 млн. сомов); проект "Реконструкции автомобильной дороги "Бишкек-Ош", Фаза 4", (Антикризисный фонд Евразийского банка развития (участок Маданият-Джалал-Абад, протяженностью 67 км, 1745,2 млн. сомов); "Строительство альтернативной дороги "Север-Юг Фаза 1 и Фаза 2" (Китайская Народная Республика, 7746,4 млн. сомов); проект "Соединительной дороги, коридоры ЦАРЭС 1 и 3" (участок 89-159 км, от с.Эпкин до с.Башкууганды) (Азиатский банк развития, 932,4 млн. сомов); проект "Соединительной дороги, коридоры ЦАРЭС 1 и 3, Фаза 2 - Дополнительное финансирование" (Участки гор. Балыкчы, 0-43 км; с.Кочкор - с.Эпкин, 64-89 км), (Азиатский банк развития, 412,3 млн. сомов); "Улучшение основных международных дорог" (Japan International Cooperation Agency, 1103,5 млн. сомов); Проект "Противаловинная защита автодороги Бишкек-Ош" (Japan International Cooperation Agency, 681,5 млн. сомов); и других, которые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энергетическом секторе объемы финансирования предусмотрены в сумме 11388,1 млн. сомов (около 35,0% от всех государственных инвестиций), которые ожидаются за счет реализации проектов: "Реконструкция Атбашинской ГЭС" (Швейцария, 376,3 млн. сомов); "CASA-1000" (Всемирный банк, Европейский инвестиционный банк, Исламский банк развития, 6679,9 млн. сомов); "Повышение подотчетности и надежности электроснабжения" (Всемирный банк, 1,0 млн. сомов); "Улучшение электроснабжения Аркинского массива Лейлекского района Баткенской области (Исламский банк развития, 126,9 млн. сомов); "Ввод второго агрегата Камбаратинской ГЭС-2" (Евразийский банк развития, 239,5 млн. сомов); "Вторая и третья фазы реабилитации Токтогульской ГЭС" (Азиатский банк развития, Евразийский банк развития, 2862,0 млн. сомов); "Проект улучшения теплоснабжения" (Всемирный банк, 506,4 млн. сомов); "Реконструкция и строительство насосных станций" (Европейский банк реконструкции и развития, 321,4 млн. сомов)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В рамках реализации Стратегии развития систем питьевого водоснабжения и водоотведения населенных пунктов Кыргызской Республики до 2026 года реализуется проект "Устойчивое развитие сельского водоснабжения и санитарии", финансируемый Всемирным банком (реализуется в 91 селе - в Ошской, Чуйской и Иссык-Кульской областях). Из общего бюджета вышеуказанного проекта (71,2 млн. долл. США) в 2020 году предусмотрено открытие финансирования на сумму около 1500 млн. сомов.</w:t>
      </w:r>
    </w:p>
    <w:p>
      <w:pPr>
        <w:spacing w:after="60"/>
        <w:ind w:firstLine="567"/>
        <w:jc w:val="both"/>
      </w:pPr>
      <w:r>
        <w:rPr>
          <w:rFonts w:ascii="Arial" w:cs="Arial" w:eastAsia="Arial" w:hAnsi="Arial"/>
          <w:sz w:val="24"/>
          <w:szCs w:val="24"/>
        </w:rPr>
        <w:t xml:space="preserve">Объемы прямых иностранных инвестиций в сумме 16,0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ОсОО "Каз Минералз Бозымчак" (1329,8 млн. сомов);</w:t>
      </w:r>
    </w:p>
    <w:p>
      <w:pPr>
        <w:spacing w:after="60"/>
        <w:ind w:firstLine="567"/>
        <w:jc w:val="both"/>
      </w:pPr>
      <w:r>
        <w:rPr>
          <w:rFonts w:ascii="Arial" w:cs="Arial" w:eastAsia="Arial" w:hAnsi="Arial"/>
          <w:sz w:val="24"/>
          <w:szCs w:val="24"/>
        </w:rPr>
        <w:t xml:space="preserve">- ОсОО "Фул Голд Майнинг" (250,0 млн. сомов);</w:t>
      </w:r>
    </w:p>
    <w:p>
      <w:pPr>
        <w:spacing w:after="60"/>
        <w:ind w:firstLine="567"/>
        <w:jc w:val="both"/>
      </w:pPr>
      <w:r>
        <w:rPr>
          <w:rFonts w:ascii="Arial" w:cs="Arial" w:eastAsia="Arial" w:hAnsi="Arial"/>
          <w:sz w:val="24"/>
          <w:szCs w:val="24"/>
        </w:rPr>
        <w:t xml:space="preserve">- ОАО "Альянс Алтын" (3371,5 млн. сомов);</w:t>
      </w:r>
    </w:p>
    <w:p>
      <w:pPr>
        <w:spacing w:after="60"/>
        <w:ind w:firstLine="567"/>
        <w:jc w:val="both"/>
      </w:pPr>
      <w:r>
        <w:rPr>
          <w:rFonts w:ascii="Arial" w:cs="Arial" w:eastAsia="Arial" w:hAnsi="Arial"/>
          <w:sz w:val="24"/>
          <w:szCs w:val="24"/>
        </w:rPr>
        <w:t xml:space="preserve">- ОсОО "Газпром Кыргызстан" (4095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11,7% и составит 193,1 млрд. сомов. Влияние строительной отрасли на темпы экономического роста будет положительным и составит 1,06 процентных пункта, удельный вес строительства в структуре производства ВВП - 9,3%.</w:t>
      </w:r>
    </w:p>
    <w:p>
      <w:pPr>
        <w:spacing w:after="60"/>
        <w:ind w:firstLine="567"/>
        <w:jc w:val="both"/>
      </w:pPr>
      <w:r>
        <w:rPr>
          <w:rFonts w:ascii="Arial" w:cs="Arial" w:eastAsia="Arial" w:hAnsi="Arial"/>
          <w:sz w:val="24"/>
          <w:szCs w:val="24"/>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 Бишкек (38,0%), Чуйская (15,1%), Джалал-Абадская (16,5%), Ошская (5,5%) и Иссык-Кульская (13,7%) области, суммарный вклад которых в развитие строительной отрасли составит 10,75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факторы, влияющие на развитие строительной отрасли экономики. Основная часть притока денежных переводов поступает из России (более 90%), поэтому прогнозируемый рост притока данных средств может быть направлен на увеличение объемов жилищного строительства населения в регионах с большой долей мигрантов.</w:t>
      </w:r>
    </w:p>
    <w:p>
      <w:pPr>
        <w:spacing w:after="60"/>
        <w:ind w:firstLine="567"/>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и могут привести к недостижению прогнозируемых показателей:</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проекте бюджета по Программе государственных инвестиций на 2019-2020 годы (внешние источники), может быть пересмотрена в сторону снижения, где причинами неосвоения могут быть несвоевременное проведение внутренних процедур по продвижению соглашений, неорганизованность работы с подрядчиками и т.д. Из-за несвоевременного освоения средств, последующие транши в республику могут и не поступить;</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прямых иностранных инвесторов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остаются проблемы, связанные с актом приемки завершенных объектов, некоторые из которых завершены в прошлые годы, однако не оформлен акт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ind w:firstLine="567"/>
        <w:jc w:val="both"/>
      </w:pPr>
      <w:r>
        <w:rPr>
          <w:rFonts w:ascii="Arial" w:cs="Arial" w:eastAsia="Arial" w:hAnsi="Arial"/>
          <w:sz w:val="24"/>
          <w:szCs w:val="24"/>
        </w:rPr>
        <w:t xml:space="preserve">- недостаточный уровень обеспечения финансирования запланированных объемов капитальных вложений за счет средств населения;</w:t>
      </w:r>
    </w:p>
    <w:p>
      <w:pPr>
        <w:spacing w:after="60"/>
        <w:ind w:firstLine="567"/>
        <w:jc w:val="both"/>
      </w:pPr>
      <w:r>
        <w:rPr>
          <w:rFonts w:ascii="Arial" w:cs="Arial" w:eastAsia="Arial" w:hAnsi="Arial"/>
          <w:sz w:val="24"/>
          <w:szCs w:val="24"/>
        </w:rPr>
        <w:t xml:space="preserve">- объемы финансирования объектов по программе государственных инвестиций не могут продвигаться ускоренными темпами от предусмотренного графика ввиду требуемых дополнительных процедур по заключению соглашений задействованных сторон;</w:t>
      </w:r>
    </w:p>
    <w:p>
      <w:pPr>
        <w:spacing w:after="60"/>
        <w:ind w:firstLine="567"/>
        <w:jc w:val="both"/>
      </w:pPr>
      <w:r>
        <w:rPr>
          <w:rFonts w:ascii="Arial" w:cs="Arial" w:eastAsia="Arial" w:hAnsi="Arial"/>
          <w:sz w:val="24"/>
          <w:szCs w:val="24"/>
        </w:rPr>
        <w:t xml:space="preserve">- отдельные международные соглашения о привлечении инвестиций в экономику республики являются только намерениями сторон, пока отсутствуют конкретные проекты с определенными суммами и также не определены источники их финансирования.</w:t>
      </w:r>
    </w:p>
    <w:p>
      <w:pPr>
        <w:spacing w:after="60"/>
        <w:ind w:firstLine="567"/>
        <w:jc w:val="both"/>
      </w:pPr>
      <w:r>
        <w:rPr>
          <w:rFonts w:ascii="Arial" w:cs="Arial" w:eastAsia="Arial" w:hAnsi="Arial"/>
          <w:sz w:val="24"/>
          <w:szCs w:val="24"/>
        </w:rPr>
        <w:t xml:space="preserve">Вышеизложенные предпосылки могут привести к снижению объемов производства и инвестиций в основной капитал, приостановке строительства объектов,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Меры, предусмотренные Программой развития Кыргызской Республики, а также реализация программ Правительства Кыргызской Республики (в частности, Программа Правительства Кыргызской Республики по развитию экспорта Кыргызской Республики на 2019-2022 годы, утвержденная постановлением Правительства Кыргызской Республики от 20 декабря 2018 года № 596, и Программа Правительства Кыргызской Республики развития сферы туризма на 2019-2023 годы, утвержденная постановлением Правительства Кыргызской Республики от 31 января 2019 года № 36) создадут базу для реального роста объемов сферы услуг на 4,4% в 2020 году. При этом прогнозируется прирост объемов оптово-розничной торговли до уровня 106,5%. Стабильная динамика и небольшое ускорение будут обусловлены постепенным насыщением внутреннего рынка, о чем свидетельствует динамика последних лет.</w:t>
      </w:r>
    </w:p>
    <w:p>
      <w:pPr>
        <w:spacing w:after="60"/>
        <w:ind w:firstLine="567"/>
        <w:jc w:val="both"/>
      </w:pPr>
      <w:r>
        <w:rPr>
          <w:rFonts w:ascii="Arial" w:cs="Arial" w:eastAsia="Arial" w:hAnsi="Arial"/>
          <w:sz w:val="24"/>
          <w:szCs w:val="24"/>
        </w:rPr>
        <w:t xml:space="preserve">Ожидаемое сохранение стабильного уровня цен на ГСМ в стране отразится на незначительном колебании цен на транспортные услуги. 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 который прогнозируется на уровне 107,1% в 2020 году.</w:t>
      </w:r>
    </w:p>
    <w:p>
      <w:pPr>
        <w:spacing w:after="60"/>
        <w:ind w:firstLine="567"/>
        <w:jc w:val="both"/>
      </w:pPr>
      <w:r>
        <w:rPr>
          <w:rFonts w:ascii="Arial" w:cs="Arial" w:eastAsia="Arial" w:hAnsi="Arial"/>
          <w:sz w:val="24"/>
          <w:szCs w:val="24"/>
        </w:rPr>
        <w:t xml:space="preserve">Сохранение мировой тенденции для телекоммуникационных компаний будет иметь место и в состоянии отечественных сотовых операторов, и в 2020 году объем услуг сложится на уровне предыдущего года. Начало положительной динамики развития отрасли связи прогнозируется с 2021 года.</w:t>
      </w:r>
    </w:p>
    <w:p>
      <w:pPr>
        <w:spacing w:after="60"/>
        <w:ind w:firstLine="567"/>
        <w:jc w:val="both"/>
      </w:pPr>
      <w:r>
        <w:rPr>
          <w:rFonts w:ascii="Arial" w:cs="Arial" w:eastAsia="Arial" w:hAnsi="Arial"/>
          <w:sz w:val="24"/>
          <w:szCs w:val="24"/>
        </w:rPr>
        <w:t xml:space="preserve">Будут проводиться мероприятия по внедрению механизмов взаимодействия государственных органов посредством единой системы "Тундук", по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способности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4"/>
          <w:szCs w:val="24"/>
        </w:rPr>
        <w:t xml:space="preserve">Мероприятия, заложенные в Программе Правительства Кыргызской Республики развития сферы туризма на 2019-2023 годы, утвержденной постановлением Правительства Кыргызской Республики от 31 января 2019 года № 36, направлены на увеличение доли туризма в ВВП и доведение ее в 2020 году до 6,0%, 2022 году - до 6,5% ВВП. Основные усилия будут направлены на комплексное улучшение туристической инфраструктуры и повышение уровня сервиса в отрасли. В 2020 году реальный рост в услугах гостиниц и ресторанов прогнозируется на уровне 108,8%. Реализация туристического потенциала страны и расширение сервисных услуг будет иметь положительный мультипликативный эффект на все отрасли услуг.</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4"/>
          <w:szCs w:val="24"/>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стран-членов ЕАЭС, вследствие чего торговые потоки потребительских товаров из КНР будут переориентированы на другие маршруты (КНР-РК-РФ); нерешенности вопроса соответствующей оснащенности пропускных пунктов на участках границ, что приведет к снижению оптовой торговли из-за недостаточного учета товаров, нелегального ввоза товаров и соответственно наличия барьеров со стороны Республики Казахстан; снижения оборота розничной торговли и сокращения доходов населения из-за уменьшения экономической активности в регионе;</w:t>
      </w:r>
    </w:p>
    <w:p>
      <w:pPr>
        <w:spacing w:after="60"/>
        <w:ind w:firstLine="567"/>
        <w:jc w:val="both"/>
      </w:pPr>
      <w:r>
        <w:rPr>
          <w:rFonts w:ascii="Arial" w:cs="Arial" w:eastAsia="Arial" w:hAnsi="Arial"/>
          <w:sz w:val="24"/>
          <w:szCs w:val="24"/>
        </w:rPr>
        <w:t xml:space="preserve">- дальнейшее снижение показателей в реальном выражении в сфере услуг связи и информации: несмотря на переход населения от услуг голосовой связи к услугам связи через Интернет-соединение, в структуре услуг связи изменения незначительны, вследствие чего тенденция снижения будет продолжаться достаточно продолжительное время;</w:t>
      </w:r>
    </w:p>
    <w:p>
      <w:pPr>
        <w:spacing w:after="60"/>
        <w:ind w:firstLine="567"/>
        <w:jc w:val="both"/>
      </w:pPr>
      <w:r>
        <w:rPr>
          <w:rFonts w:ascii="Arial" w:cs="Arial" w:eastAsia="Arial" w:hAnsi="Arial"/>
          <w:sz w:val="24"/>
          <w:szCs w:val="24"/>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Государственного предприятия "НК "Кыргыз темир жолу";</w:t>
      </w:r>
    </w:p>
    <w:p>
      <w:pPr>
        <w:spacing w:after="60"/>
        <w:ind w:firstLine="567"/>
        <w:jc w:val="both"/>
      </w:pPr>
      <w:r>
        <w:rPr>
          <w:rFonts w:ascii="Arial" w:cs="Arial" w:eastAsia="Arial" w:hAnsi="Arial"/>
          <w:sz w:val="24"/>
          <w:szCs w:val="24"/>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4"/>
          <w:szCs w:val="24"/>
        </w:rPr>
        <w:t xml:space="preserve">- замедление геологоразведочных работ, что приведет к невыполнению запланированных показателей роста услуг профессиональной, научной и технической деятельности.</w:t>
      </w:r>
    </w:p>
    <w:p>
      <w:pPr>
        <w:spacing w:after="60" w:before="200"/>
        <w:ind w:firstLine="567"/>
        <w:jc w:val="left"/>
      </w:pPr>
      <w:r>
        <w:rPr>
          <w:rFonts w:ascii="Arial" w:cs="Arial" w:eastAsia="Arial" w:hAnsi="Arial"/>
          <w:b/>
          <w:bCs/>
          <w:sz w:val="24"/>
          <w:szCs w:val="24"/>
        </w:rPr>
        <w:t xml:space="preserve">7.9.2. ВВП методом конечного использования (расходов)</w:t>
      </w:r>
    </w:p>
    <w:p>
      <w:pPr>
        <w:spacing w:after="60"/>
        <w:ind w:firstLine="567"/>
        <w:jc w:val="both"/>
      </w:pPr>
      <w:r>
        <w:rPr>
          <w:rFonts w:ascii="Arial" w:cs="Arial" w:eastAsia="Arial" w:hAnsi="Arial"/>
          <w:sz w:val="24"/>
          <w:szCs w:val="24"/>
        </w:rPr>
        <w:t xml:space="preserve">Предпринимаемые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инвестирование на территории регионов, а также реализация крупных инвестиционных проектов, заложенных в стратегических документах, будут способствовать увеличению доли валовых инвестиций в структуре ВВП с 36,6% - в 2018 году до 37,1% - в 2020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8"/>
        <w:gridCol w:w="2038"/>
        <w:gridCol w:w="1598"/>
        <w:gridCol w:w="1854"/>
      </w:tblGrid>
      <w:tr>
        <w:tc>
          <w:tcPr>
            <w:tcW w:type="dxa" w:w="4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год(11) оценка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(ПГИ)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По методике Международного валютного фонда.</w:t>
      </w:r>
    </w:p>
    <w:p>
      <w:pPr>
        <w:spacing w:after="60"/>
        <w:ind w:firstLine="567"/>
        <w:jc w:val="both"/>
      </w:pPr>
      <w:r>
        <w:rPr>
          <w:rFonts w:ascii="Arial" w:cs="Arial" w:eastAsia="Arial" w:hAnsi="Arial"/>
          <w:sz w:val="24"/>
          <w:szCs w:val="24"/>
        </w:rPr>
        <w:t xml:space="preserve">Действия и усилия Правительства Кыргызской Республики,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(далее - Программа), утвержденной постановлением Правительства Кыргызской Республики от 20 декабря 2018 года № 596,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Кроме того, в рамках соглашений о создании зон свободной торговли с отдельными странами (Арабская Республика Египет, Государство Израиль, Республика Сербия, Сингапур) будет проводиться работа по продвижению отечественных товаров на рынки Европы и Азии.</w:t>
      </w:r>
    </w:p>
    <w:p>
      <w:pPr>
        <w:spacing w:after="60"/>
        <w:ind w:firstLine="567"/>
        <w:jc w:val="both"/>
      </w:pPr>
      <w:r>
        <w:rPr>
          <w:rFonts w:ascii="Arial" w:cs="Arial" w:eastAsia="Arial" w:hAnsi="Arial"/>
          <w:sz w:val="24"/>
          <w:szCs w:val="24"/>
        </w:rPr>
        <w:t xml:space="preserve">В рамках Программы определены четыре перспективных сектора, которые будут ключевыми факторами, определяющими динамику отечественного экспорта. Возможность наращивания экспорта ожидается за счет швейной и молочной отраслей, переработки овощей и фруктов. Также в Программу включены три кросс-отраслевых сектора: инфраструктура качества, доступ к финансам и стимулирование экспорта.</w:t>
      </w:r>
    </w:p>
    <w:p>
      <w:pPr>
        <w:spacing w:after="60"/>
        <w:ind w:firstLine="567"/>
        <w:jc w:val="both"/>
      </w:pPr>
      <w:r>
        <w:rPr>
          <w:rFonts w:ascii="Arial" w:cs="Arial" w:eastAsia="Arial" w:hAnsi="Arial"/>
          <w:sz w:val="24"/>
          <w:szCs w:val="24"/>
        </w:rPr>
        <w:t xml:space="preserve">В Плане мероприятий по реализации Программы предусмотрены следующие меры по:</w:t>
      </w:r>
    </w:p>
    <w:p>
      <w:pPr>
        <w:spacing w:after="60"/>
        <w:ind w:firstLine="567"/>
        <w:jc w:val="both"/>
      </w:pPr>
      <w:r>
        <w:rPr>
          <w:rFonts w:ascii="Arial" w:cs="Arial" w:eastAsia="Arial" w:hAnsi="Arial"/>
          <w:sz w:val="24"/>
          <w:szCs w:val="24"/>
        </w:rPr>
        <w:t xml:space="preserve">- институциональному развитию предприятий - экспортеров;</w:t>
      </w:r>
    </w:p>
    <w:p>
      <w:pPr>
        <w:spacing w:after="60"/>
        <w:ind w:firstLine="567"/>
        <w:jc w:val="both"/>
      </w:pPr>
      <w:r>
        <w:rPr>
          <w:rFonts w:ascii="Arial" w:cs="Arial" w:eastAsia="Arial" w:hAnsi="Arial"/>
          <w:sz w:val="24"/>
          <w:szCs w:val="24"/>
        </w:rPr>
        <w:t xml:space="preserve">- обеспечению доступа к нормативным правовым актам, действующим в странах экспорта, международным стандартам по системам менеджмента и международным стандартам по методам испытания продукции;</w:t>
      </w:r>
    </w:p>
    <w:p>
      <w:pPr>
        <w:spacing w:after="60"/>
        <w:ind w:firstLine="567"/>
        <w:jc w:val="both"/>
      </w:pPr>
      <w:r>
        <w:rPr>
          <w:rFonts w:ascii="Arial" w:cs="Arial" w:eastAsia="Arial" w:hAnsi="Arial"/>
          <w:sz w:val="24"/>
          <w:szCs w:val="24"/>
        </w:rPr>
        <w:t xml:space="preserve">- достижению предприятиями Кыргызской Республики полного соответствия выпускаемой продукции требованиям технических регламентов, карантинным фитосанитарным требованиям ЕАЭС, требованиям директив Европейского союза, нормам международного санитарного и фитосанитарного контроля;</w:t>
      </w:r>
    </w:p>
    <w:p>
      <w:pPr>
        <w:spacing w:after="60"/>
        <w:ind w:firstLine="567"/>
        <w:jc w:val="both"/>
      </w:pPr>
      <w:r>
        <w:rPr>
          <w:rFonts w:ascii="Arial" w:cs="Arial" w:eastAsia="Arial" w:hAnsi="Arial"/>
          <w:sz w:val="24"/>
          <w:szCs w:val="24"/>
        </w:rPr>
        <w:t xml:space="preserve">- внедрению международных стандартов качества на предприятиях;</w:t>
      </w:r>
    </w:p>
    <w:p>
      <w:pPr>
        <w:spacing w:after="60"/>
        <w:ind w:firstLine="567"/>
        <w:jc w:val="both"/>
      </w:pPr>
      <w:r>
        <w:rPr>
          <w:rFonts w:ascii="Arial" w:cs="Arial" w:eastAsia="Arial" w:hAnsi="Arial"/>
          <w:sz w:val="24"/>
          <w:szCs w:val="24"/>
        </w:rPr>
        <w:t xml:space="preserve">- развитию транспортно-логистической инфраструктуры;</w:t>
      </w:r>
    </w:p>
    <w:p>
      <w:pPr>
        <w:spacing w:after="60"/>
        <w:ind w:firstLine="567"/>
        <w:jc w:val="both"/>
      </w:pPr>
      <w:r>
        <w:rPr>
          <w:rFonts w:ascii="Arial" w:cs="Arial" w:eastAsia="Arial" w:hAnsi="Arial"/>
          <w:sz w:val="24"/>
          <w:szCs w:val="24"/>
        </w:rPr>
        <w:t xml:space="preserve">- поддержке продвижения на внешних рынках и др.</w:t>
      </w:r>
    </w:p>
    <w:p>
      <w:pPr>
        <w:spacing w:after="60"/>
        <w:ind w:firstLine="567"/>
        <w:jc w:val="both"/>
      </w:pPr>
      <w:r>
        <w:rPr>
          <w:rFonts w:ascii="Arial" w:cs="Arial" w:eastAsia="Arial" w:hAnsi="Arial"/>
          <w:sz w:val="24"/>
          <w:szCs w:val="24"/>
        </w:rPr>
        <w:t xml:space="preserve">Традиционно основными торгово-экономическими партнерами во внешнеторговом взаимодействии будут государства-члены ЕАЭС и СНГ.</w:t>
      </w:r>
    </w:p>
    <w:p>
      <w:pPr>
        <w:spacing w:after="60"/>
        <w:ind w:firstLine="567"/>
        <w:jc w:val="both"/>
      </w:pPr>
      <w:r>
        <w:rPr>
          <w:rFonts w:ascii="Arial" w:cs="Arial" w:eastAsia="Arial" w:hAnsi="Arial"/>
          <w:sz w:val="24"/>
          <w:szCs w:val="24"/>
        </w:rPr>
        <w:t xml:space="preserve">В перспективе следующие ключевые факторы, такие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4"/>
          <w:szCs w:val="24"/>
        </w:rPr>
        <w:t xml:space="preserve">Прогнозируется, что в 2020 году внешнеторговый оборот составит 7560,0 млн. долл. США, в том числе экспорт прогнозируется на уровне 2060,0 млн. долл. США и импорт - 5500,0 млн. долл. США.</w:t>
      </w:r>
    </w:p>
    <w:p>
      <w:pPr>
        <w:spacing w:after="60"/>
        <w:ind w:firstLine="567"/>
        <w:jc w:val="both"/>
      </w:pPr>
      <w:r>
        <w:rPr>
          <w:rFonts w:ascii="Arial" w:cs="Arial" w:eastAsia="Arial" w:hAnsi="Arial"/>
          <w:sz w:val="24"/>
          <w:szCs w:val="24"/>
        </w:rPr>
        <w:t xml:space="preserve">Рост объема экспортных поставок прогнозируется на уровне 108,4%, без учета золота - 102,7%. Основными товарными позициями в экспорте будут: золото, цемент, предметы одежды и одежных принадлежностей, и овощи и фрукты и др.</w:t>
      </w:r>
    </w:p>
    <w:p>
      <w:pPr>
        <w:spacing w:after="60"/>
        <w:ind w:firstLine="567"/>
        <w:jc w:val="both"/>
      </w:pPr>
      <w:r>
        <w:rPr>
          <w:rFonts w:ascii="Arial" w:cs="Arial" w:eastAsia="Arial" w:hAnsi="Arial"/>
          <w:sz w:val="24"/>
          <w:szCs w:val="24"/>
        </w:rPr>
        <w:t xml:space="preserve">Увеличение объема импортных поступлений прогнозируется на уровне 103,8%, где доминирующее влияние будет оказывать ввоз в страну нефтепродуктов, продовольственных товаров, фармацевтической продукции и др.</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прогнозируется на уровне 3440,0 млн. долл. США.</w:t>
      </w:r>
    </w:p>
    <w:p>
      <w:pPr>
        <w:spacing w:after="60"/>
        <w:ind w:firstLine="567"/>
        <w:jc w:val="both"/>
      </w:pPr>
      <w:r>
        <w:rPr>
          <w:rFonts w:ascii="Arial" w:cs="Arial" w:eastAsia="Arial" w:hAnsi="Arial"/>
          <w:sz w:val="24"/>
          <w:szCs w:val="24"/>
        </w:rPr>
        <w:t xml:space="preserve">Удельный вес объема экспорта товаров и услуг в 2020 году составит 30,9%, где наблюдается некоторое снижение по сравнению с 2019 годом в связи с сокращением объемов производства золота на предприятии по разработке месторождения Кумтор, доля которого в структуре экспорта составляет почти 30%.</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денежных переводов позволят увеличить потребление. Рост уровня потребления прогнозируется на уровне 4,7%, в том числе реальный прирост частного потребления - на 5,3%.</w:t>
      </w:r>
    </w:p>
    <w:p>
      <w:pPr>
        <w:spacing w:after="60" w:before="200"/>
        <w:ind w:firstLine="567"/>
        <w:jc w:val="left"/>
      </w:pPr>
      <w:r>
        <w:rPr>
          <w:rFonts w:ascii="Arial" w:cs="Arial" w:eastAsia="Arial" w:hAnsi="Arial"/>
          <w:b/>
          <w:bCs/>
          <w:sz w:val="24"/>
          <w:szCs w:val="24"/>
        </w:rPr>
        <w:t xml:space="preserve">7.10. Региональное развитие</w:t>
      </w:r>
    </w:p>
    <w:p>
      <w:pPr>
        <w:spacing w:after="60"/>
        <w:ind w:firstLine="567"/>
        <w:jc w:val="both"/>
      </w:pPr>
      <w:r>
        <w:rPr>
          <w:rFonts w:ascii="Arial" w:cs="Arial" w:eastAsia="Arial" w:hAnsi="Arial"/>
          <w:sz w:val="24"/>
          <w:szCs w:val="24"/>
        </w:rPr>
        <w:t xml:space="preserve">В 2020 году будет продолжена работа по сбалансированному развитию регионов, созданию благоприятной бизнес-среды. Для улучшения благосостояния населения и экономического состояния регионов будет активно вестись работа по реализации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а также мероприятия, начатые в рамках Указа Президента Кыргызской Республики об объявлении 2019 года Годом развития регионов и цифровизации страны.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городов-точек роста. Будет завершено формирование стратегий развития городов-точек роста и начнется их практическая реализация, в том числе будут активированы работы по улучшению инфраструктуры данных городов и концентрации оказываемых в них государственных услуг. В связи с этим ежегодно, до 2025 года органам местного самоуправления будут выделяться средства в размере 50,0 млн. сомов из республиканского бюджета на разработку генеральных планов. В рамках проводимых мероприятий будут решаться задачи по:</w:t>
      </w:r>
    </w:p>
    <w:p>
      <w:pPr>
        <w:spacing w:after="60"/>
        <w:ind w:firstLine="567"/>
        <w:jc w:val="both"/>
      </w:pPr>
      <w:r>
        <w:rPr>
          <w:rFonts w:ascii="Arial" w:cs="Arial" w:eastAsia="Arial" w:hAnsi="Arial"/>
          <w:sz w:val="24"/>
          <w:szCs w:val="24"/>
        </w:rPr>
        <w:t xml:space="preserve">- строительству и запуску торгово-логистических центров в областях республики;</w:t>
      </w:r>
    </w:p>
    <w:p>
      <w:pPr>
        <w:spacing w:after="60"/>
        <w:ind w:firstLine="567"/>
        <w:jc w:val="both"/>
      </w:pPr>
      <w:r>
        <w:rPr>
          <w:rFonts w:ascii="Arial" w:cs="Arial" w:eastAsia="Arial" w:hAnsi="Arial"/>
          <w:sz w:val="24"/>
          <w:szCs w:val="24"/>
        </w:rPr>
        <w:t xml:space="preserve">- открытию центров обслуживания населения (ЦОН) в регионах;</w:t>
      </w:r>
    </w:p>
    <w:p>
      <w:pPr>
        <w:spacing w:after="60"/>
        <w:ind w:firstLine="567"/>
        <w:jc w:val="both"/>
      </w:pPr>
      <w:r>
        <w:rPr>
          <w:rFonts w:ascii="Arial" w:cs="Arial" w:eastAsia="Arial" w:hAnsi="Arial"/>
          <w:sz w:val="24"/>
          <w:szCs w:val="24"/>
        </w:rPr>
        <w:t xml:space="preserve">- строительству объектов ирригации, введению новых орошаемых земель и повышению водообеспеченности;</w:t>
      </w:r>
    </w:p>
    <w:p>
      <w:pPr>
        <w:spacing w:after="60"/>
        <w:ind w:firstLine="567"/>
        <w:jc w:val="both"/>
      </w:pPr>
      <w:r>
        <w:rPr>
          <w:rFonts w:ascii="Arial" w:cs="Arial" w:eastAsia="Arial" w:hAnsi="Arial"/>
          <w:sz w:val="24"/>
          <w:szCs w:val="24"/>
        </w:rPr>
        <w:t xml:space="preserve">- точечному строительству образовательных и медицинских учреждений исходя из фактической потребности;</w:t>
      </w:r>
    </w:p>
    <w:p>
      <w:pPr>
        <w:spacing w:after="60"/>
        <w:ind w:firstLine="567"/>
        <w:jc w:val="both"/>
      </w:pPr>
      <w:r>
        <w:rPr>
          <w:rFonts w:ascii="Arial" w:cs="Arial" w:eastAsia="Arial" w:hAnsi="Arial"/>
          <w:sz w:val="24"/>
          <w:szCs w:val="24"/>
        </w:rPr>
        <w:t xml:space="preserve">- модернизации и строительству энергетической инфраструктуры в регионах;</w:t>
      </w:r>
    </w:p>
    <w:p>
      <w:pPr>
        <w:spacing w:after="60"/>
        <w:ind w:firstLine="567"/>
        <w:jc w:val="both"/>
      </w:pPr>
      <w:r>
        <w:rPr>
          <w:rFonts w:ascii="Arial" w:cs="Arial" w:eastAsia="Arial" w:hAnsi="Arial"/>
          <w:sz w:val="24"/>
          <w:szCs w:val="24"/>
        </w:rPr>
        <w:t xml:space="preserve">- строительству и реконструкции региональных транспортных сообщений;</w:t>
      </w:r>
    </w:p>
    <w:p>
      <w:pPr>
        <w:spacing w:after="60"/>
        <w:ind w:firstLine="567"/>
        <w:jc w:val="both"/>
      </w:pPr>
      <w:r>
        <w:rPr>
          <w:rFonts w:ascii="Arial" w:cs="Arial" w:eastAsia="Arial" w:hAnsi="Arial"/>
          <w:sz w:val="24"/>
          <w:szCs w:val="24"/>
        </w:rPr>
        <w:t xml:space="preserve">- строительству, реконструкции систем водоснабжения и водоотведения в регионах.</w:t>
      </w:r>
    </w:p>
    <w:p>
      <w:pPr>
        <w:spacing w:after="60"/>
        <w:ind w:firstLine="567"/>
        <w:jc w:val="both"/>
      </w:pPr>
      <w:r>
        <w:rPr>
          <w:rFonts w:ascii="Arial" w:cs="Arial" w:eastAsia="Arial" w:hAnsi="Arial"/>
          <w:sz w:val="24"/>
          <w:szCs w:val="24"/>
        </w:rPr>
        <w:t xml:space="preserve">Кроме того, в целях развития регионов и стимулирования притока инвестиций в региональные проекты и предприятия регионов будет запущен механизм, способствующий развитию отдельных населенных пунктов через определение преференций для предприятий, осуществляющих на их территории свою деятельность. Вновь созданным предприятиям на период с 5 до 10 лет будет предоставляться освобождение от уплаты налогов на имущество, земельного налога, от налога на прибыль и налога с продаж (Закон Кыргызской Республики "О внесении изменений в Налоговый кодекс Кыргызской Республики" от 29 июня 2017 года № 114).</w:t>
      </w:r>
    </w:p>
    <w:p>
      <w:pPr>
        <w:spacing w:after="60"/>
        <w:ind w:firstLine="567"/>
        <w:jc w:val="both"/>
      </w:pPr>
      <w:r>
        <w:rPr>
          <w:rFonts w:ascii="Arial" w:cs="Arial" w:eastAsia="Arial" w:hAnsi="Arial"/>
          <w:sz w:val="24"/>
          <w:szCs w:val="24"/>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78,3%, суммарный вклад которых в рост ВВП республики составит 3,95 процентных пункта. Значительные доли в общем объеме производства ВВП Джалал-Абадской (11,6%) и Иссык-Кульской (11,1%)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21,7%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8"/>
        <w:gridCol w:w="1309"/>
        <w:gridCol w:w="1309"/>
        <w:gridCol w:w="1328"/>
        <w:gridCol w:w="1328"/>
        <w:gridCol w:w="1328"/>
        <w:gridCol w:w="1328"/>
      </w:tblGrid>
      <w:tr>
        <w:tc>
          <w:tcPr>
            <w:tcW w:type="dxa" w:w="2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5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77402,5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74380,1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16131,4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256667,3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7.11. Социальная сфера</w:t>
      </w:r>
    </w:p>
    <w:p>
      <w:pPr>
        <w:spacing w:after="60"/>
        <w:ind w:firstLine="567"/>
        <w:jc w:val="both"/>
      </w:pPr>
      <w:r>
        <w:rPr>
          <w:rFonts w:ascii="Arial" w:cs="Arial" w:eastAsia="Arial" w:hAnsi="Arial"/>
          <w:sz w:val="24"/>
          <w:szCs w:val="24"/>
        </w:rPr>
        <w:t xml:space="preserve">Политика социального развития в 2020 году будет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 Основное внимание будет уделено вопросам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 Будет проводиться работа по выявлению и устранению существующих пробелов в доступе к социальным услугам детей трудовых мигрантов.</w:t>
      </w:r>
    </w:p>
    <w:p>
      <w:pPr>
        <w:spacing w:after="60"/>
        <w:ind w:firstLine="567"/>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60"/>
        <w:ind w:firstLine="567"/>
        <w:jc w:val="both"/>
      </w:pPr>
      <w:r>
        <w:rPr>
          <w:rFonts w:ascii="Arial" w:cs="Arial" w:eastAsia="Arial" w:hAnsi="Arial"/>
          <w:sz w:val="24"/>
          <w:szCs w:val="24"/>
        </w:rPr>
        <w:t xml:space="preserve">Предлагаемые меры будут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В сфере труда и содействия занятости населения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 Будет разработан комплекс мер по внедрению международной классификации занятий, в том числе занятий в сфере социального обслуживания.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содействия занятости будут реализовываться в соответствии с Программой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направленные на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целях реформирования пенсионного обеспечения, повышения стимулов для участия граждан ожидается дальнейшее совершенствование системы государственного пенсионного обеспечения, механизма выплаты средств пенсионных накоплений.</w:t>
      </w:r>
    </w:p>
    <w:p>
      <w:pPr>
        <w:spacing w:after="60"/>
        <w:ind w:firstLine="567"/>
        <w:jc w:val="both"/>
      </w:pPr>
      <w:r>
        <w:rPr>
          <w:rFonts w:ascii="Arial" w:cs="Arial" w:eastAsia="Arial" w:hAnsi="Arial"/>
          <w:sz w:val="24"/>
          <w:szCs w:val="24"/>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утвержденной постановлением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 В результате проводимой политики и предпринимаемых мер в сфере здравоохранения в 2020 году прогнозируется увеличение продолжительности жизни граждан до 71,7 лет, сокращение уровня детской смертности до 18,1 на 1000 живорожденных, а также уровня материнской смертности до 32 на 100 тыс. живорожденных(12).</w:t>
      </w:r>
    </w:p>
    <w:p>
      <w:pPr>
        <w:spacing w:after="60"/>
        <w:ind w:firstLine="567"/>
        <w:jc w:val="both"/>
      </w:pPr>
      <w:r>
        <w:rPr>
          <w:rFonts w:ascii="Arial" w:cs="Arial" w:eastAsia="Arial" w:hAnsi="Arial"/>
          <w:sz w:val="24"/>
          <w:szCs w:val="24"/>
        </w:rPr>
        <w:t xml:space="preserve">В сфере развития образования и науки основными направлениями являются: обеспечение доступа детей к дошкольному образованию и предшкольной подготовке, качественному основному общему и среднему общему образованию для каждого, инклюзивной образовательной системе на всех уровнях образования; ориентированность на цифровизацию обучения, включая создание условий для формирования электронного обучения на всех уровнях образования; развитие профессиональных компетенций в соответствии с современными требованиями рынка труда и запросами населения; формирование Национальной квалификационной системы; развитие вузовской науки в соответствии со страновыми приоритетами. Запланировано увеличение (до 1604) числа дошкольных образовательных организаций, с ориентировочной численностью более 200 тыс. детей и общеобразовательных учреждений - до 2268, с численностью обучающихся более 1 млн. 300 тыс. человек.</w:t>
      </w:r>
    </w:p>
    <w:p>
      <w:pPr>
        <w:spacing w:after="60"/>
        <w:ind w:firstLine="567"/>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будет оставаться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 внутренняя миграция -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трудовая миграция за границу - проведение комплексной работы по оказанию помощи трудящимся-мигрантам до их отъезда из страны, во время пребывания за границей и по их возвращении; иммиграция -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 и др.</w:t>
      </w:r>
    </w:p>
    <w:p>
      <w:pPr>
        <w:spacing w:after="60"/>
        <w:ind w:firstLine="567"/>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утвержденной постановлением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утвержденной постановлением Правительства Кыргызской Республики от 22 сентября 2017 года № 600.</w:t>
      </w:r>
    </w:p>
    <w:p>
      <w:pPr>
        <w:spacing w:after="60"/>
        <w:ind w:firstLine="567"/>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5,2%. В структуре денежных доходов номинальный размер средней заработной платы возрастет на 5,0% и составит в 2020 году 17955,5 сома.</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составит 8,8%.</w:t>
      </w:r>
    </w:p>
    <w:p>
      <w:pPr>
        <w:spacing w:after="60"/>
        <w:ind w:firstLine="567"/>
        <w:jc w:val="both"/>
      </w:pPr>
      <w:r>
        <w:rPr>
          <w:rFonts w:ascii="Arial" w:cs="Arial" w:eastAsia="Arial" w:hAnsi="Arial"/>
          <w:sz w:val="24"/>
          <w:szCs w:val="24"/>
        </w:rPr>
        <w:t xml:space="preserve">Размер прожиточного минимума (ПМ) увеличится с 4792,5 сома - в 2018 году до 5063,6 сома - в 2020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3,2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7,4% и составит в 2020 году 6020,0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5,8% относительно 6,2% фактически сложившегося уровня в 2018 году.</w:t>
      </w:r>
    </w:p>
    <w:p>
      <w:pPr>
        <w:spacing w:after="60"/>
        <w:ind w:firstLine="567"/>
        <w:jc w:val="both"/>
      </w:pPr>
      <w:r>
        <w:rPr>
          <w:rFonts w:ascii="Arial" w:cs="Arial" w:eastAsia="Arial" w:hAnsi="Arial"/>
          <w:sz w:val="24"/>
          <w:szCs w:val="24"/>
        </w:rPr>
        <w:t xml:space="preserve">Уровень бедности к 2020 году прогнозируется в размере 22,0% и снизится на 0,4 процентного пункта по сравнению с фактически сложившимся в 2018 году.</w:t>
      </w:r>
    </w:p>
    <w:p>
      <w:pPr>
        <w:spacing w:after="200" w:before="200"/>
        <w:jc w:val="center"/>
      </w:pPr>
      <w:r>
        <w:rPr>
          <w:rFonts w:ascii="Arial" w:cs="Arial" w:eastAsia="Arial" w:hAnsi="Arial"/>
          <w:b/>
          <w:bCs/>
          <w:sz w:val="24"/>
          <w:szCs w:val="24"/>
        </w:rPr>
        <w:t xml:space="preserve">8. Макроэкономический прогноз на 2021-2022 годы</w:t>
      </w:r>
    </w:p>
    <w:p>
      <w:pPr>
        <w:spacing w:after="60"/>
        <w:ind w:firstLine="567"/>
        <w:jc w:val="both"/>
      </w:pPr>
      <w:r>
        <w:rPr>
          <w:rFonts w:ascii="Arial" w:cs="Arial" w:eastAsia="Arial" w:hAnsi="Arial"/>
          <w:sz w:val="24"/>
          <w:szCs w:val="24"/>
        </w:rPr>
        <w:t xml:space="preserve">В 2021-2022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2021-2022 годы основана на полной, успешной и своевременной реализации мер и инвестиционных проектов, заложенных в Программе развития Кыргызской Республики и их эффективном влиянии на экономику страны, где экономические преобразования позволят обеспечить ежегодный темп прироста ВВП не менее 4,0%,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Реальные вклады отраслей производства ВВП
 на 2021-2022 годы,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289"/>
        <w:gridCol w:w="1289"/>
        <w:gridCol w:w="1885"/>
        <w:gridCol w:w="1700"/>
        <w:gridCol w:w="1659"/>
      </w:tblGrid>
      <w:tr>
        <w:tc>
          <w:tcPr>
            <w:tcW w:type="dxa" w:w="23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2021-2022 годы</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2021-2022 годы</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2021-2022 годы</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2019 году и прогнозируемых показателей на 2020 год, среднегодовой реальный прирост ВВП на 2021-2022 годы прогнозируется на уровне 4,2%.</w:t>
      </w:r>
    </w:p>
    <w:p>
      <w:pPr>
        <w:spacing w:after="60"/>
        <w:ind w:firstLine="567"/>
        <w:jc w:val="both"/>
      </w:pPr>
      <w:r>
        <w:rPr>
          <w:rFonts w:ascii="Arial" w:cs="Arial" w:eastAsia="Arial" w:hAnsi="Arial"/>
          <w:sz w:val="24"/>
          <w:szCs w:val="24"/>
        </w:rPr>
        <w:t xml:space="preserve">В отраслевом разрезе в 2021-2022 годах прогнозируемые среднегодовые темпы прироста составят: в сельском хозяйстве - 3,3%, в промышленности - 4,6%, в строительстве - 8,9%, в сфере предоставления услуг - 3,2%.</w:t>
      </w:r>
    </w:p>
    <w:p>
      <w:pPr>
        <w:spacing w:after="60"/>
        <w:ind w:firstLine="567"/>
        <w:jc w:val="both"/>
      </w:pPr>
      <w:r>
        <w:rPr>
          <w:rFonts w:ascii="Arial" w:cs="Arial" w:eastAsia="Arial" w:hAnsi="Arial"/>
          <w:sz w:val="24"/>
          <w:szCs w:val="24"/>
        </w:rPr>
        <w:t xml:space="preserve">В целом на период 2021-2022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2021-2022 годах прогнозируется увеличение реальных темпов прироста сельского хозяйства в среднем на 3,3%,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10,7% в год.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площадей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Прирост промышленного производства в 2021-2022 годах прогнозируется в среднем за год на уровне 4,6%.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На месторождении Кумтор прогнозируется снижение объемов производства основных металлов в 2021 году по сравнению с 2019 годом согласно производственному плану предприятия и увеличение объемов в 2022 году до 601 тыс. унций.</w:t>
      </w:r>
    </w:p>
    <w:p>
      <w:pPr>
        <w:spacing w:after="60"/>
        <w:ind w:firstLine="567"/>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7,1% в среднем в год; прирост объемов текстильного производства; производства одежды и обуви, кожи и прочих кожаных изделий на 8,9% в среднем в год; увеличение производства кокса и очищенных нефтепродуктов на 5,7% в среднем в год; рост производства строительных материалов на 3,5% в среднем в год; увеличение производства фармацевтической продукции - на 9,5% в среднем в год.</w:t>
      </w:r>
    </w:p>
    <w:p>
      <w:pPr>
        <w:spacing w:after="60"/>
        <w:ind w:firstLine="567"/>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3,2% в среднем в год. Выработка электроэнергии в 2022 году прогнозируется в объеме 16714,7 млн. кВтч, что больше на 728,5 млн. кВтч по сравнению с 2020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4"/>
          <w:szCs w:val="24"/>
        </w:rPr>
        <w:t xml:space="preserve">В 2021-2022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государственного 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Ак-Булунская ГЭС, Ат-Башинская ГЭС, Уч-Курганская ГЭС, Токтогульская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2021-2022 годах возрастет в среднем на 9,8% (с 212,7 млрд. сомов - в 2021 году до 235,7 млрд. сомов - в 2022 году). Структура капитальных вложений относительно прогнозируемой в 2020 году изменится в сторону снижения доли внутренних инвестиций до 67,4% от общего объема капитальных вложений в 2022 году и, соответственно, увеличения доли внешних инвестиций до 32,6%, по причине увеличения объемов иностранных кредитов из-за улучшения инвестиционного климата в стране, а также увеличения прямых иностранных инвестиций.</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на уровне 8,9% в среднем за год. Влияние строительной отрасли на темпы экономического роста будет положительным и составит в среднем 0,84 процентных пункта.</w:t>
      </w:r>
    </w:p>
    <w:p>
      <w:pPr>
        <w:spacing w:after="60"/>
        <w:ind w:firstLine="567"/>
        <w:jc w:val="both"/>
      </w:pPr>
      <w:r>
        <w:rPr>
          <w:rFonts w:ascii="Arial" w:cs="Arial" w:eastAsia="Arial" w:hAnsi="Arial"/>
          <w:sz w:val="24"/>
          <w:szCs w:val="24"/>
        </w:rPr>
        <w:t xml:space="preserve">В 2021-2022 годах рост отраслей услуг прогнозируется на уровне 103,3% в среднем в год. Увеличение темпов будет обусловлено поддержанием внутреннего спроса, а также выходом отрасли связи из отрицательной области. Объемы оптово-розничной торговли увеличатся в среднем на 4,6%. Ожидаемое увеличение притока туристов в страну и сопутствующее улучшение инфраструктуры, капитальные инвестиции в отрасли туризма повлекут за собой развитие рыночных услуг. Услуги гостиниц и ресторанов прогнозируются на уровне 107,7% за счет увеличения оборота в местах сосредоточения рекреационных объектов.</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2021-2022 годах, будут: преимущество членство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w:t>
      </w:r>
    </w:p>
    <w:p>
      <w:pPr>
        <w:spacing w:after="60"/>
        <w:ind w:firstLine="567"/>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60"/>
        <w:ind w:firstLine="567"/>
        <w:jc w:val="both"/>
      </w:pPr>
      <w:r>
        <w:rPr>
          <w:rFonts w:ascii="Arial" w:cs="Arial" w:eastAsia="Arial" w:hAnsi="Arial"/>
          <w:sz w:val="24"/>
          <w:szCs w:val="24"/>
        </w:rPr>
        <w:t xml:space="preserve">Рост объемов внешнеторгового оборота в 2021-2022 годах прогнозируется в среднем на 5,8% ежегодно и в 2022 году достигнет уровня 8460,0 млн. долл. США. Номинальный рост объема экспорта товаров в 2021-2022 годах прогнозируется в среднем на 7,1%, а импорта - на 5,4%. Как и прежде, основной статьей экспорта будет золото, которое занимает в структуре экспорта около 30%.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Политика социального развития в 2021-2022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утвержденной постановлением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2021-2022 годах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в 2021-2022 годах прогнозируется в среднем на уровне 5,6%. В структуре денежных доходов номинальный размер средней заработной платы возрастет в среднем на 4,7% и составит в 2022 году 19682,9 сома.</w:t>
      </w:r>
    </w:p>
    <w:p>
      <w:pPr>
        <w:spacing w:after="60"/>
        <w:ind w:firstLine="567"/>
        <w:jc w:val="both"/>
      </w:pPr>
      <w:r>
        <w:rPr>
          <w:rFonts w:ascii="Arial" w:cs="Arial" w:eastAsia="Arial" w:hAnsi="Arial"/>
          <w:sz w:val="24"/>
          <w:szCs w:val="24"/>
        </w:rPr>
        <w:t xml:space="preserve">Прирост объема ВВП на душу населения в среднем в 2021-2022 годах составит 4,3%.</w:t>
      </w:r>
    </w:p>
    <w:p>
      <w:pPr>
        <w:spacing w:after="60"/>
        <w:ind w:firstLine="567"/>
        <w:jc w:val="both"/>
      </w:pPr>
      <w:r>
        <w:rPr>
          <w:rFonts w:ascii="Arial" w:cs="Arial" w:eastAsia="Arial" w:hAnsi="Arial"/>
          <w:sz w:val="24"/>
          <w:szCs w:val="24"/>
        </w:rPr>
        <w:t xml:space="preserve">Размер прожиточного минимума увеличится с 5063,6 сома - в 2020 году до 5540,1 сома - к 2022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3,2 к 2022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2020 года на 5,6% и составит в 2022 году 6360,0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2022 году 5,5% относительно 6,2% фактически сложившегося уровня в 2018 году.</w:t>
      </w:r>
    </w:p>
    <w:p>
      <w:pPr>
        <w:spacing w:after="60"/>
        <w:ind w:firstLine="567"/>
        <w:jc w:val="both"/>
      </w:pPr>
      <w:r>
        <w:rPr>
          <w:rFonts w:ascii="Arial" w:cs="Arial" w:eastAsia="Arial" w:hAnsi="Arial"/>
          <w:sz w:val="24"/>
          <w:szCs w:val="24"/>
        </w:rPr>
        <w:t xml:space="preserve">Уровень бедности к 2022 году прогнозируется в размере 21,5% и снизится на 0,9 процентных пункта по сравнению с фактически сложившимся в 2018 году.</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2020-2022 годах экономическая политика и эффективная реализация заявленных мер в программных документах Правительства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2020-2022 годы экономический рост прогнозируется в среднем на 4,5%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Правительством, при необходимости, будет разработана система мер, направленная на смягчение возможного шокового воздействия на экономику от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снижение/роста ожидаемых показателей социально-экономического развития в 2019 году, прогнозируемые макроэкономические показатели на 2020-2022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статистических комитетов государств-членов ЕАЭС и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(2) Информация и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(3) Данные Европейской комиссии, Международного валютного фонда (World Economic Outlook Update, July 2019), Всемирного банка.</w:t>
      </w:r>
    </w:p>
    <w:p>
      <w:pPr>
        <w:spacing w:after="60"/>
        <w:ind w:firstLine="567"/>
        <w:jc w:val="both"/>
      </w:pPr>
      <w:r>
        <w:rPr>
          <w:rFonts w:ascii="Arial" w:cs="Arial" w:eastAsia="Arial" w:hAnsi="Arial"/>
          <w:sz w:val="24"/>
          <w:szCs w:val="24"/>
        </w:rPr>
        <w:t xml:space="preserve">(4) Данные Международного валютного фонда (МВФ) (World Economic Outlook Update, July 2019).</w:t>
      </w:r>
    </w:p>
    <w:p>
      <w:pPr>
        <w:spacing w:after="60"/>
        <w:ind w:firstLine="567"/>
        <w:jc w:val="both"/>
      </w:pPr>
      <w:r>
        <w:rPr>
          <w:rFonts w:ascii="Arial" w:cs="Arial" w:eastAsia="Arial" w:hAnsi="Arial"/>
          <w:sz w:val="24"/>
          <w:szCs w:val="24"/>
        </w:rPr>
        <w:t xml:space="preserve">(5)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(6) Данные Министерства экономического развития Российской Федерации.</w:t>
      </w:r>
    </w:p>
    <w:p>
      <w:pPr>
        <w:spacing w:after="60"/>
        <w:ind w:firstLine="567"/>
        <w:jc w:val="both"/>
      </w:pPr>
      <w:r>
        <w:rPr>
          <w:rFonts w:ascii="Arial" w:cs="Arial" w:eastAsia="Arial" w:hAnsi="Arial"/>
          <w:sz w:val="24"/>
          <w:szCs w:val="24"/>
        </w:rPr>
        <w:t xml:space="preserve">(7) Данные Министерства национальной экономики Республики Казахстан.</w:t>
      </w:r>
    </w:p>
    <w:p>
      <w:pPr>
        <w:spacing w:after="60"/>
        <w:ind w:firstLine="567"/>
        <w:jc w:val="both"/>
      </w:pPr>
      <w:r>
        <w:rPr>
          <w:rFonts w:ascii="Arial" w:cs="Arial" w:eastAsia="Arial" w:hAnsi="Arial"/>
          <w:sz w:val="24"/>
          <w:szCs w:val="24"/>
        </w:rPr>
        <w:t xml:space="preserve">(8) Расчет ВВП по регионам за 2018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давальческого сырья.</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(12) По оценкам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8"/>
        <w:gridCol w:w="1470"/>
        <w:gridCol w:w="1104"/>
        <w:gridCol w:w="1024"/>
        <w:gridCol w:w="1024"/>
        <w:gridCol w:w="1024"/>
        <w:gridCol w:w="1024"/>
      </w:tblGrid>
      <w:tr>
        <w:tc>
          <w:tcPr>
            <w:tcW w:type="dxa" w:w="3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711721,6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757696,9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112910,3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131101,7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141314,2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67846,7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76193,4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80439,4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75264,6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280743,7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314730,3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352889,8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84489,7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107788,9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509140,4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548669,1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613708,8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658125,0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699028,1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653555,7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700121,0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748561,4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493366,4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595450,5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638291,9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92166,0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94853,0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110269,5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222885,7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247318,9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299366,8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56698,3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62260,8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22943,0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176531,0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196882,7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215922,3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237106,0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-210517,7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-233812,5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-290231,4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184214,9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194107,6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221017,1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240202,7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404625,3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439741,1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482037,1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530434,1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412964,5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432373,8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454857,3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479419,6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506746,5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6193,7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(без учета малых предприятий)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6360,0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r>
              <w:rPr>
                <w:rFonts w:ascii="Arial" w:cs="Arial" w:eastAsia="Arial" w:hAnsi="Arial"/>
                <w:b/>
                <w:bCs/>
                <w:sz w:val="24"/>
                <w:szCs w:val="24"/>
              </w:rPr>
              <w:t xml:space="preserve">(5)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4"/>
        <w:gridCol w:w="1206"/>
        <w:gridCol w:w="998"/>
        <w:gridCol w:w="1167"/>
        <w:gridCol w:w="1167"/>
        <w:gridCol w:w="1167"/>
      </w:tblGrid>
      <w:tr>
        <w:tc>
          <w:tcPr>
            <w:tcW w:type="dxa" w:w="44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w:t>
            </w:r>
            <w:r>
              <w:rPr>
                <w:rFonts w:ascii="Arial" w:cs="Arial" w:eastAsia="Arial" w:hAnsi="Arial"/>
                <w:b/>
                <w:bCs/>
                <w:sz w:val="24"/>
                <w:szCs w:val="24"/>
              </w:rPr>
              <w:t xml:space="preserve"> (%</w:t>
            </w:r>
            <w:r>
              <w:rPr>
                <w:rFonts w:ascii="Arial" w:cs="Arial" w:eastAsia="Arial" w:hAnsi="Arial"/>
                <w:b/>
                <w:bCs/>
                <w:sz w:val="24"/>
                <w:szCs w:val="24"/>
              </w:rPr>
              <w:t xml:space="preserve"> от ВВП)</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0"/>
        <w:gridCol w:w="1272"/>
        <w:gridCol w:w="1207"/>
        <w:gridCol w:w="1207"/>
        <w:gridCol w:w="1207"/>
        <w:gridCol w:w="1207"/>
      </w:tblGrid>
      <w:tr>
        <w:tc>
          <w:tcPr>
            <w:tcW w:type="dxa" w:w="40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213086,3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226891,6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252636,3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(7)</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271419,0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298269,8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315148,3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339697,6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(8),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271172,5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297475,8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313729,4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337692,0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206221,3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257993,0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49382,9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199553,2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212710,5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169555,8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193068,0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212480</w:t>
            </w:r>
            <w:r>
              <w:rPr>
                <w:rFonts w:ascii="Arial" w:cs="Arial" w:eastAsia="Arial" w:hAnsi="Arial"/>
                <w:b/>
                <w:bCs/>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233740,9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473505,4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565966,8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595187,7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233236,3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48420,4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60939,9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64210,7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36465,1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35063,7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7"/>
        <w:gridCol w:w="1325"/>
        <w:gridCol w:w="1207"/>
        <w:gridCol w:w="1207"/>
        <w:gridCol w:w="1207"/>
        <w:gridCol w:w="1207"/>
      </w:tblGrid>
      <w:tr>
        <w:tc>
          <w:tcPr>
            <w:tcW w:type="dxa" w:w="40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213086,3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226891,6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252636,3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100366,0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105615,2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113804,1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120253,6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127021,5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19135,2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102,1656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11271,0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102298,6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107801,8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113708,6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120216,0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61986,1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68152,1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71797,0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41722,2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4977,1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271419,0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298269,8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315148,3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339697,6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148289,8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160817,7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184611,8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214716,2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22046,1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24162,3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26653,6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218316,2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239697,7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253570,6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275184,2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44619,7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18939,9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26954,4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24938,6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141633,5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28092,4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31161,2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32638,4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34197,9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w:t>
            </w:r>
            <w:r>
              <w:rPr>
                <w:rFonts w:ascii="Arial" w:cs="Arial" w:eastAsia="Arial" w:hAnsi="Arial"/>
                <w:sz w:val="24"/>
                <w:szCs w:val="24"/>
              </w:rPr>
              <w:t xml:space="preserve">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271172,5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297475,8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313729,4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337692,0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160571,3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199553,2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212710,5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24162,2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26653,5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206221,3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225727,4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237974,7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257993,0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23130,5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24919,4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141633,6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44351,1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46814,4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49382,9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3"/>
        <w:gridCol w:w="1179"/>
        <w:gridCol w:w="1101"/>
        <w:gridCol w:w="1158"/>
        <w:gridCol w:w="1158"/>
        <w:gridCol w:w="1158"/>
      </w:tblGrid>
      <w:tr>
        <w:tc>
          <w:tcPr>
            <w:tcW w:type="dxa" w:w="4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2306,4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42067,6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43280,1</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13971,3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16463,8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золота(9)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8"/>
        <w:gridCol w:w="1347"/>
        <w:gridCol w:w="1144"/>
        <w:gridCol w:w="1176"/>
        <w:gridCol w:w="1176"/>
        <w:gridCol w:w="1176"/>
      </w:tblGrid>
      <w:tr>
        <w:tc>
          <w:tcPr>
            <w:tcW w:type="dxa" w:w="41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20363,9</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21707,2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24702,8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26299,7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27419,6</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16626,8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17262,4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17089,8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18707,1</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r>
              <w:rPr>
                <w:rFonts w:ascii="Arial" w:cs="Arial" w:eastAsia="Arial" w:hAnsi="Arial"/>
                <w:sz w:val="24"/>
                <w:szCs w:val="24"/>
              </w:rPr>
              <w:t xml:space="preserve">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1280"/>
        <w:gridCol w:w="1207"/>
        <w:gridCol w:w="1207"/>
        <w:gridCol w:w="1207"/>
        <w:gridCol w:w="1207"/>
      </w:tblGrid>
      <w:tr>
        <w:tc>
          <w:tcPr>
            <w:tcW w:type="dxa" w:w="40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473505,4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565966,8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595187,7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174229,2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219495,7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233236,3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48420,4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60939,9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64210,7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30666,3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33450,8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36465,1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29919,6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32552,5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33840,2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35063,7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26264,1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27890,6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29499,4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22880,5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25596,6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26188,7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16789,1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17825,8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19191,1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4842,3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42782,9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51618,9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54113,1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41562,7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47333,5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49338,5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19914,9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22369,3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4594,3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5094,5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5776,8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12590,1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13753,0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14892,7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8"/>
        <w:gridCol w:w="1317"/>
        <w:gridCol w:w="1207"/>
        <w:gridCol w:w="1207"/>
        <w:gridCol w:w="1207"/>
        <w:gridCol w:w="1333"/>
      </w:tblGrid>
      <w:tr>
        <w:tc>
          <w:tcPr>
            <w:tcW w:type="dxa" w:w="39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724924,2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778785,6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891889,6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955974,5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1008605,7</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553623,1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597624,3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693044,4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745810,8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788651,9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23834,2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26186,6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32478,1</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35269,1</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36530,7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37975,8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121398,7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132425,6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139709,8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145335,9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2"/>
        <w:gridCol w:w="1288"/>
        <w:gridCol w:w="1207"/>
        <w:gridCol w:w="1207"/>
        <w:gridCol w:w="1207"/>
        <w:gridCol w:w="1207"/>
      </w:tblGrid>
      <w:tr>
        <w:tc>
          <w:tcPr>
            <w:tcW w:type="dxa" w:w="4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173906,6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191700,2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212693,8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235717,6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108612,9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134194,7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144592,5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158953,9</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67924,7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73506,8</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69188,1</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54895,8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57505,5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68101</w:t>
            </w:r>
            <w:r>
              <w:rPr>
                <w:rFonts w:ascii="Arial" w:cs="Arial" w:eastAsia="Arial" w:hAnsi="Arial"/>
                <w:b/>
                <w:bCs/>
                <w:sz w:val="24"/>
                <w:szCs w:val="24"/>
              </w:rPr>
              <w:t xml:space="preserve">,</w:t>
            </w:r>
            <w:r>
              <w:rPr>
                <w:rFonts w:ascii="Arial" w:cs="Arial" w:eastAsia="Arial" w:hAnsi="Arial"/>
                <w:b/>
                <w:bCs/>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76763,7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41701,6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19635,8</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15426,3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1777"/>
        <w:gridCol w:w="1185"/>
        <w:gridCol w:w="1028"/>
        <w:gridCol w:w="1165"/>
        <w:gridCol w:w="1165"/>
        <w:gridCol w:w="1165"/>
      </w:tblGrid>
      <w:tr>
        <w:tc>
          <w:tcPr>
            <w:tcW w:type="dxa" w:w="26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715"/>
        <w:gridCol w:w="1148"/>
        <w:gridCol w:w="1011"/>
        <w:gridCol w:w="1162"/>
        <w:gridCol w:w="1162"/>
        <w:gridCol w:w="1162"/>
      </w:tblGrid>
      <w:tr>
        <w:tc>
          <w:tcPr>
            <w:tcW w:type="dxa" w:w="2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594"/>
        <w:gridCol w:w="1077"/>
        <w:gridCol w:w="981"/>
        <w:gridCol w:w="1154"/>
        <w:gridCol w:w="1154"/>
        <w:gridCol w:w="1154"/>
      </w:tblGrid>
      <w:tr>
        <w:tc>
          <w:tcPr>
            <w:tcW w:type="dxa" w:w="3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5291,9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7"/>
        <w:gridCol w:w="1372"/>
        <w:gridCol w:w="1150"/>
        <w:gridCol w:w="1150"/>
        <w:gridCol w:w="1150"/>
        <w:gridCol w:w="1270"/>
      </w:tblGrid>
      <w:tr>
        <w:tc>
          <w:tcPr>
            <w:tcW w:type="dxa" w:w="40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w:t>
            </w:r>
            <w:r>
              <w:rPr>
                <w:rFonts w:ascii="Arial" w:cs="Arial" w:eastAsia="Arial" w:hAnsi="Arial"/>
                <w:sz w:val="24"/>
                <w:szCs w:val="24"/>
              </w:rPr>
              <w:t xml:space="preserve">(млн. сомов)(10)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711721,6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757696,9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74380,1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85699,2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121946,2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130315,5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274805,7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290166,6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42466,5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45009,5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213086,3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239301,0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252636,3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45652,4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48194,5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51077,2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26675,2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28134,7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45935,0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51445,3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20340,5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21526,7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51608,0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57390,4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60535,0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63784,6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 (с учетом стоимости переработки давальческого сырья, без учета покупной электроэнергии)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250486,0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271419,0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298269,8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315148,3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339697,6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46242,1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58876,9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108973,8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117214,3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137492,5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148319,4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49543,3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52727,3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 (без учета стоимости переработки давальческого сырья, но с учетом покупной электроэнергии)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250640,1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271172,5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297475,8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313729,4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337692,0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34665,4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64616,7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12258,3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122444,4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143079,2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153939,3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46807,9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49779,1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52741,4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6261,0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530827,4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595187,7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19096,6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57149,8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60628,7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63384,3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33463,3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39997,4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42349,4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15778,9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59065,5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62923,4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66415,9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232395,3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261244,6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279347,2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293898,4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40117,1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174229,2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219495,7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233236,3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26840,8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28250,8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21972,3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71039,3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91271,3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98838,6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105223,9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21144,1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778785,6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891889,6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955974,5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1008605,7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23647,9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91636,8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97589,5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102320,3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39080,9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90984,2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96522,9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109846,2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117467,6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124468,7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402821,3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463836,8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497542,4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525349,1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63515,5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68434,1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78057,5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84644,0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89436,1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597624,3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693044,4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745810,8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788651,9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68553,5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79057,3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84437,1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88876,5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10972,7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44085,5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19367,3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20486,4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76861,0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81699,9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94037,0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100944,9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257529,9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279815,3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327552,6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353038,2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373204,8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58274,9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67344,0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73445,3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153256,9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169555,8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193068,0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212480,2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233740,9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30922,5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11241,0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32897,5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36755,2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64730,5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73343,8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75629,5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79717,5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173906,6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191700,2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212693,8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235717,6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28024,1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38383,5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35627,5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8878,0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28515,9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26267,2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69039,1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71040,2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занятых в экономике, тыс. чел.</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97750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в %</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(12),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13408,3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14514,7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15227,0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16857,6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17655,6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w:t>
            </w:r>
            <w:r>
              <w:rPr>
                <w:rFonts w:ascii="Arial" w:cs="Arial" w:eastAsia="Arial" w:hAnsi="Arial"/>
                <w:sz w:val="24"/>
                <w:szCs w:val="24"/>
              </w:rPr>
              <w:t xml:space="preserve">, сом.</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(4) Данные Социального фонда Кыргызской Республики.</w:t>
      </w:r>
    </w:p>
    <w:p>
      <w:pPr>
        <w:spacing w:after="60"/>
        <w:ind w:firstLine="567"/>
        <w:jc w:val="both"/>
      </w:pPr>
      <w:r>
        <w:rPr>
          <w:rFonts w:ascii="Arial" w:cs="Arial" w:eastAsia="Arial" w:hAnsi="Arial"/>
          <w:sz w:val="24"/>
          <w:szCs w:val="24"/>
        </w:rPr>
        <w:t xml:space="preserve">(5)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(6) Оценка Министерства экономики Кыргызской Республики на 2018-2022 годы.</w:t>
      </w:r>
    </w:p>
    <w:p>
      <w:pPr>
        <w:spacing w:after="60"/>
        <w:ind w:firstLine="567"/>
        <w:jc w:val="both"/>
      </w:pPr>
      <w:r>
        <w:rPr>
          <w:rFonts w:ascii="Arial" w:cs="Arial" w:eastAsia="Arial" w:hAnsi="Arial"/>
          <w:sz w:val="24"/>
          <w:szCs w:val="24"/>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(10)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(12) Данные за 2018 год, без учета малых предприятий.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fwxu1wgxhh-qu58ehze">
      <w:r>
        <w:rPr>
          <w:rFonts w:ascii="Arial" w:cs="Arial" w:eastAsia="Arial" w:hAnsi="Arial"/>
          <w:color w:val="132D3F"/>
          <w:sz w:val="16"/>
          <w:szCs w:val="16"/>
          <w:u w:val="single"/>
        </w:rPr>
        <w:t xml:space="preserve">dalil.kg/document/157216</w:t>
      </w:r>
    </w:hyperlink>
  </w:p>
  <w:p>
    <w:pPr>
      <w:spacing w:after="0" w:before="40"/>
      <w:jc w:val="center"/>
    </w:pPr>
    <w:hyperlink w:history="1" r:id="rIdtaj-5cpr7so-_7mmrzz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k5bubuejzzenhxdvd0y" Type="http://schemas.openxmlformats.org/officeDocument/2006/relationships/hyperlink" Target="https://dalil.kg/document/202530" TargetMode="External"/><Relationship Id="rIdcqdxxfxfrjykyw6gg9zkc" Type="http://schemas.openxmlformats.org/officeDocument/2006/relationships/hyperlink" Target="https://dalil.kg/document/203685" TargetMode="External"/><Relationship Id="rIdinmkszrrpu4jodeiadf9x" Type="http://schemas.openxmlformats.org/officeDocument/2006/relationships/hyperlink" Target="https://dalil.kg/document/157216#p1" TargetMode="External"/><Relationship Id="rIdtpgmmawc4by-zw1_ughm5" Type="http://schemas.openxmlformats.org/officeDocument/2006/relationships/hyperlink" Target="https://dalil.kg/document/145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fwxu1wgxhh-qu58ehze" Type="http://schemas.openxmlformats.org/officeDocument/2006/relationships/hyperlink" Target="https://dalil.kg/document/157216" TargetMode="External"/><Relationship Id="rIdtaj-5cpr7so-_7mmrzz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2026-10-01T19:19:19.065Z</dcterms:created>
  <dcterms:modified xsi:type="dcterms:W3CDTF">2026-10-01T19:19:19.065Z</dcterms:modified>
</cp:coreProperties>
</file>

<file path=docProps/custom.xml><?xml version="1.0" encoding="utf-8"?>
<Properties xmlns="http://schemas.openxmlformats.org/officeDocument/2006/custom-properties" xmlns:vt="http://schemas.openxmlformats.org/officeDocument/2006/docPropsVTypes"/>
</file>