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v0y7zi1ai3bcdh6jdmq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ноября 2019 года № 612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 сотрудничестве государств - участников СНГ в области обращения с отходами электронного и электротехнического оборудования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г.Душанбе, от 1 июня 2018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 - участников настоящего Соглашения, далее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положениях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зоне свободной торговли от 18 октября 2011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развивая положения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в области промышленности и создании Совета по промышленной политике государств - участников СНГ от 30 мая 2012 года и Соглашения о сотрудничестве в области охраны окружающей среды государств - участников Содружества Независимых Государств от 31 мая 2013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обеспечить благоприятные условия для взаимовыгодного сотрудничества предприятий государств - участников СНГ по максимальному вовлечению в хозяйственный оборот отходов электронного и электротехнического оборудования (далее - ОЭЭО) в качестве источника вторичных материальных и энергетических ресурсов в целях сохранения и экономии первичных природных ресурсов,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технические руководящие принципы трансграничной перевозки электротехнических и электронных отходов и использованного электротехнического и электронного оборудования, в частности касающиеся проведения различия между отходами и неотходами в соответствии с </w:t>
      </w:r>
      <w:hyperlink w:history="1" r:id="rIdmila22zz7qb4zabjtzo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Базельской конвенцией</w:t>
        </w:r>
      </w:hyperlink>
      <w:r>
        <w:rPr>
          <w:rFonts w:ascii="Arial" w:cs="Arial" w:eastAsia="Arial" w:hAnsi="Arial"/>
          <w:sz w:val="24"/>
          <w:szCs w:val="24"/>
        </w:rPr>
        <w:t xml:space="preserve"> о контроле за трансграничной перевозкой опасных отходов и их удалением от 22 марта 1989 года (4-15 мая 2015 года, Женева, Швейцария),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международными договорами и законодательством государств - участников настоящего Соглашения,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Понятия, используемые в настоящем Соглашении, означают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вторичные материальные ресурсы в региональной системе обращения с ОЭЭО</w:t>
      </w:r>
      <w:r>
        <w:rPr>
          <w:rFonts w:ascii="Arial" w:cs="Arial" w:eastAsia="Arial" w:hAnsi="Arial"/>
          <w:sz w:val="24"/>
          <w:szCs w:val="24"/>
        </w:rPr>
        <w:t xml:space="preserve"> - ОЭЭО, которые после дополнительной обработки потенциально пригодны для использования в производстве для получения сырья, продуктов и (или)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использование ОЭЭО</w:t>
      </w:r>
      <w:r>
        <w:rPr>
          <w:rFonts w:ascii="Arial" w:cs="Arial" w:eastAsia="Arial" w:hAnsi="Arial"/>
          <w:sz w:val="24"/>
          <w:szCs w:val="24"/>
        </w:rPr>
        <w:t xml:space="preserve"> - применение вторичных материальных ресурсов для производства продукции и выполнения работ (услуг) и (или) получения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классификация ОЭЭО</w:t>
      </w:r>
      <w:r>
        <w:rPr>
          <w:rFonts w:ascii="Arial" w:cs="Arial" w:eastAsia="Arial" w:hAnsi="Arial"/>
          <w:sz w:val="24"/>
          <w:szCs w:val="24"/>
        </w:rPr>
        <w:t xml:space="preserve"> - распределение отходов на группы по совокупности приоритетных признаков: по классу опасности для окружающей среды и здоровья людей, по происхождению, агрегатному состоянию, химическому составу и другим характеристикам, необходимым для осуществления безопасной и ресурсосберегающей деятельности по обращению с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класс опасности ОЭЭО</w:t>
      </w:r>
      <w:r>
        <w:rPr>
          <w:rFonts w:ascii="Arial" w:cs="Arial" w:eastAsia="Arial" w:hAnsi="Arial"/>
          <w:sz w:val="24"/>
          <w:szCs w:val="24"/>
        </w:rPr>
        <w:t xml:space="preserve"> - характеристика отходов, определяющая степень их возможного вредного воздействия, непосредственного или опосредованного, на окружающую среду в соответствии с международно признанными критериями отнесения опасных отходов к определенному классу 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опасным отходам относятся категории отходов, признаваемые опасными и подлежащие контролю в соответствии с </w:t>
      </w:r>
      <w:hyperlink w:history="1" r:id="rIde8wm4lng4qfubbaoju9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Базельской конвенцией</w:t>
        </w:r>
      </w:hyperlink>
      <w:r>
        <w:rPr>
          <w:rFonts w:ascii="Arial" w:cs="Arial" w:eastAsia="Arial" w:hAnsi="Arial"/>
          <w:sz w:val="24"/>
          <w:szCs w:val="24"/>
        </w:rPr>
        <w:t xml:space="preserve"> о контроле за трансграничной перевозкой опасных отходов и их удалением от 22 марта 1989 года, а также отходы, которые определены опасными в соответствии с законодательством государств - участников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наилучшие доступные технологии</w:t>
      </w:r>
      <w:r>
        <w:rPr>
          <w:rFonts w:ascii="Arial" w:cs="Arial" w:eastAsia="Arial" w:hAnsi="Arial"/>
          <w:sz w:val="24"/>
          <w:szCs w:val="24"/>
        </w:rPr>
        <w:t xml:space="preserve"> - технологии сбора, хранения, транспортирования, переработки, утилизации, обезвреживания, размещения, удаления ОЭЭО, основанные на последних достижениях науки и техники, направленные на снижение негативного воздействия отходов на окружающую среду, жизнь и здоровье граждан и доступные для практического применения с учетом современного уровня технологического и экономического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обращение с ОЭЭО</w:t>
      </w:r>
      <w:r>
        <w:rPr>
          <w:rFonts w:ascii="Arial" w:cs="Arial" w:eastAsia="Arial" w:hAnsi="Arial"/>
          <w:sz w:val="24"/>
          <w:szCs w:val="24"/>
        </w:rPr>
        <w:t xml:space="preserve"> - деятельность, связанная с документированными организационно-технологическими операциями регулирования работ с отходами (в соответствии с законодательством государств - участников настоящего Соглашения), включая предупреждение и минимизацию образования отходов, использование отходов в качестве вторичных ресурсов, учет и контроль образования, накопления и размещения отходов, а также их сбор, хранение, транспортировку, переработку, утилизацию, обезвреживание, размещение, удаление и трансграничное перемещение;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ОЭЭО</w:t>
      </w:r>
      <w:r>
        <w:rPr>
          <w:rFonts w:ascii="Arial" w:cs="Arial" w:eastAsia="Arial" w:hAnsi="Arial"/>
          <w:sz w:val="24"/>
          <w:szCs w:val="24"/>
        </w:rPr>
        <w:t xml:space="preserve"> - оборудование, которое утратило свои потребительские свойства, включая компоненты, узлы, которые являются частью оборудования на момент снятия его с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переработка ОЭЭО</w:t>
      </w:r>
      <w:r>
        <w:rPr>
          <w:rFonts w:ascii="Arial" w:cs="Arial" w:eastAsia="Arial" w:hAnsi="Arial"/>
          <w:sz w:val="24"/>
          <w:szCs w:val="24"/>
        </w:rPr>
        <w:t xml:space="preserve"> - технологические операции, связанные с изменением физических, химических или биотехнологических свойств ОЭЭО для их повторного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региональная система обращения с ОЭЭО</w:t>
      </w:r>
      <w:r>
        <w:rPr>
          <w:rFonts w:ascii="Arial" w:cs="Arial" w:eastAsia="Arial" w:hAnsi="Arial"/>
          <w:sz w:val="24"/>
          <w:szCs w:val="24"/>
        </w:rPr>
        <w:t xml:space="preserve"> - согласованный уполномоченными органами Сторон комплекс мер и мероприятий нормативно-правового, экономического, организационно-управленческого и технико-технологического характера, в результате реализации которого в государствах - участниках настоящего Соглашения должны быть созданы условия для экологически безопасной переработки, обезвреживания, размещения, захоронения, транспортирования ОЭЭО, в том числе за счет гармонизации стандартов обращения с ОЭЭО; оптимизации безопасного трансграничного перемещения ОЭЭО; создания условий для модернизации действующих и создания новых мощностей по переработке ОЭЭО; снижения экологической нагрузки, уменьшения объемов опасных веществ из состава ОЭЭО, попадающих в окружающую среду; увеличения доли вторичных материальных ресурсов, извлекаемых из ОЭЭО при их переработке; обмена практиками и развития компетенций в области обращения с ОЭЭО;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в области обращения с ОЭЭО (компетентный орган)</w:t>
      </w:r>
      <w:r>
        <w:rPr>
          <w:rFonts w:ascii="Arial" w:cs="Arial" w:eastAsia="Arial" w:hAnsi="Arial"/>
          <w:sz w:val="24"/>
          <w:szCs w:val="24"/>
        </w:rPr>
        <w:t xml:space="preserve"> - исполнительный орган государственной власти, который в соответствии с законодательством своего государства наделен полномочиями в области обращения с отходами и несет ответственность за осуществление государственной политики в области обращения с отходами, включая координацию деятельности других государственных органов в этой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электронное и электротехническое оборудование</w:t>
      </w:r>
      <w:r>
        <w:rPr>
          <w:rFonts w:ascii="Arial" w:cs="Arial" w:eastAsia="Arial" w:hAnsi="Arial"/>
          <w:sz w:val="24"/>
          <w:szCs w:val="24"/>
        </w:rPr>
        <w:t xml:space="preserve"> - продукция производственного и (или) бытового назначения, в которой используются электрический ток или электромагнитные поля, а также оборудование для генерации, передачи и измерения таких токов и полей, представляющие собой комплекс взаимодействующих и дополняющих друг друга механизмов, машин, приборов и устройств, задействованных в единой технологической схеме, включая схемы на электронных устройствах и компонентах.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Соглашения является содействие созданию региональной системы обращения с ОЭЭО государств - участников настоящего Соглашения для максимального вовлечения таких отходов в хозяйственный оборот в качестве источника вторичных материальных ресурсов за счет освоения наилучших доступных технологий.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настоящего Соглашения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разработке государствами - участниками настоящего Соглашения национальных систем законодательных и иных нормативных актов, базирующихся на согласованных принципах и имеющих своей целью снижение экологической нагрузки, уменьшение объемов опасных веществ из состава ОЭЭО, попадающих в окружающую среду, и увеличение доли вторичных материальных ресурсов, извлекаемых из ОЭЭО при их переработке;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разработке и согласованию стандартов обращения с ОЭЭО;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условий и содействие оптимизации использования действующих и созданию новых мощностей по переработке ОЭЭО;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разработке государствами - участниками настоящего Соглашения национальных комплексов мер экономического, методического и организационного характера, согласованных государствами - участниками настоящего Соглашения и направленных на обеспечение обмена знаниями, опытом в области обращения с ОЭЭО, повышение уровня подготовки и квалификации экспертов и специалистов в этой области.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осуществляют сотрудничество в области обращения с ОЭЭО по следующим основным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и согласование приоритетных направлений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согласование направлений развития и актуализация нормативно-правового обеспечения с учетом наиболее успешной международной практики, на основе единых подходов к классификации ОЭЭО и при условии гармонизации стандартов при обращении с ними;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института государственно-частного партнерства в целях ускоренной модернизации имеющейся в государствах - участниках настоящего Соглашения производственной базы и повышения ее технического уровня;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построению региональной системы, направленной на оптимизацию обращения с ОЭЭО, включая экономическую, экологическую, технологическую и транспортную составляющие;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выработка и содействие реализации совместных мер, направленных на устойчивое развитие указанной региональной системы, включая совместные программы и проекты, в том числе на развитие и стимулирование использования вторичных материальных ресурсов, получаемых в результате переработки ОЭЭО;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созданию совместных производств, встраиванию их в региональные и глобальные цепочки добавленной стоимости, оптимизации использования действующих и строительству новых предприятий по переработке ОЭЭО с учетом установленных требований при проектировании, строительстве и реконструкции действующих предприятий, сооружений и иных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в разработке мероприятий государственной поддержки и стимулирования в области обращения с ОЭЭО;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поддержка и реализация в сроки и формах, приемлемых для заинтересованных государств - участников настоящего Соглашения, принципа расширенной ответственности производителя (поставщика), на которого возлагается ответственность по сбору, переработке, повторному использованию и утилизации ОЭЭО, выпущенного в обращение на территории государства - участника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в области подготовки, профессиональной переподготовки, повышения квалификации и закрепления кадров в области обращения с ОЭЭО;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опытом в области сбора ОЭЭО у населения.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осуществляют взаимовыгодное сотрудничество через свои уполномоченные (компетентные) органы в соответствии с настоящим Соглашением при соблюдении международных договоров и законодательства государств - участников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определяют перечень своих уполномоченных (компетентных) органов, который передается депозитарию при сдаче уведомления о выполнении внутригосударственных процедур, необходимых для вступления в силу настоящего Соглашения. Об изменении перечня уполномоченных (компетентных) органов каждая из Сторон в течение 30 дней с даты принятия такого решения информирует депозитарий, который уведомляет об этом остальные Стороны.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(компетентные) органы Сторон осуществляют сотрудничество путем проведения консультаций, обмена информацией, мнениями по вопросам обращения с ОЭЭО государств - участников настоящего Соглашения для выработки взаимосогласованных решений и мероприятий.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Координатором взаимодействия по вопросам сотрудничества государств - участников настоящего Соглашения в области обращения с ОЭЭО является Совет по промышленной политике государств - участников СНГ.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консультантов в процессе формирования региональной системы обращения с ОЭЭО государств - участников настоящего Соглашения могут выступать организации, обладающие необходимым опытом и компетенцией, определенные в соответствии с законодательством государств - участников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каждой из Сторон, вытекающих для нее из других международных договоров, участником которых является ее государство.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Соглашение по согласию Сторон могут быть внесены изменения, являющиеся его неотъемлемой частью, которые оформляются соответствующим протоколом.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 между Сторонами, возникающие при применении и толковании настоящего Соглашения, решаются путем консультаций и переговоров заинтересованных Сторон или посредством другой согласованной Сторонами процедуры.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по истечении 30 дней с даты получения депозитарием соответствующих документов.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любого государства - участника СНГ путем передачи депозитарию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присоединяющегося государства настоящее Соглашение вступает в силу по истечении 30 дней с даты получения депозитарием документа о присоединении.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 Каждая из Сторон вправе выйти из настоящего Соглашения, направив депозитарию письменное уведомление о таком своем намерении не позднее чем за шесть месяцев до выхода и урегулировав обязательства, возникшие за время действия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Душанбе 1 июня 2018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p7byae3ooasag4ldx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dalil.kg/document/157263</w:t>
      </w:r>
    </w:hyperlink>
  </w:p>
  <w:p>
    <w:pPr>
      <w:spacing w:after="0" w:before="40"/>
      <w:jc w:val="center"/>
    </w:pPr>
    <w:hyperlink w:history="1" r:id="rIdk8bou5qxdwmfgqusbaw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0y7zi1ai3bcdh6jdmqaw" Type="http://schemas.openxmlformats.org/officeDocument/2006/relationships/hyperlink" Target="https://dalil.kg/document/157262" TargetMode="External"/><Relationship Id="rIdmila22zz7qb4zabjtzoww" Type="http://schemas.openxmlformats.org/officeDocument/2006/relationships/hyperlink" Target="https://dalil.kg/document/17611" TargetMode="External"/><Relationship Id="rIde8wm4lng4qfubbaoju95r" Type="http://schemas.openxmlformats.org/officeDocument/2006/relationships/hyperlink" Target="https://dalil.kg/document/176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p7byae3ooasag4ldxzy" Type="http://schemas.openxmlformats.org/officeDocument/2006/relationships/hyperlink" Target="https://dalil.kg/document/157263" TargetMode="External"/><Relationship Id="rIdk8bou5qxdwmfgqusbaw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2026-10-03T12:18:32.809Z</dcterms:created>
  <dcterms:modified xsi:type="dcterms:W3CDTF">2026-10-03T12:18:32.809Z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