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400" w:before="400"/>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o5xkra0fgzrvlfoxm0pkm">
        <w:r>
          <w:rPr>
            <w:rFonts w:ascii="Arial" w:cs="Arial" w:eastAsia="Arial" w:hAnsi="Arial"/>
            <w:i/>
            <w:iCs/>
            <w:color w:val="1D4ED8"/>
            <w:sz w:val="24"/>
            <w:szCs w:val="24"/>
            <w:u w:val="single"/>
          </w:rPr>
          <w:t xml:space="preserve">8 апреля 2024 года № 157</w:t>
        </w:r>
      </w:hyperlink>
    </w:p>
    <w:p>
      <w:pPr>
        <w:spacing w:after="120"/>
        <w:jc w:val="center"/>
      </w:pPr>
      <w:r>
        <w:rPr>
          <w:rFonts w:ascii="Arial" w:cs="Arial" w:eastAsia="Arial" w:hAnsi="Arial"/>
          <w:i/>
          <w:iCs/>
          <w:sz w:val="24"/>
          <w:szCs w:val="24"/>
        </w:rPr>
        <w:t xml:space="preserve">Утверждено 
 </w:t>
      </w:r>
      <w:hyperlink w:history="1" r:id="rIdrjt4h2qdv4gdzrrqozrf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21 сентября 2011 года № 567</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об Агентстве по защите депозитов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8neaweaqjted6kgwalhwy">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lbrubc48mhcbsbkxsthq7">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5r4jlhk213klr-t1pq_dj">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об Агентстве по защите депозитов Кыргызской Республики (далее - Агентство) разработано в соответствии с </w:t>
      </w:r>
      <w:hyperlink w:history="1" r:id="rIddz9vwuroj8znb5cgnxfl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и иными нормативными правовыми актами и определяет правовые и организационные основы деятельности Агентства, его полномочия, задачи, функции.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mslphtvkwipnf6_uiqip">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hyperlink w:history="1" r:id="rId3bnjucohhvqkoh-i4k6u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декабря 2019 года № 662 внесены изменения в текст пункта 1 на государственном языке.</w:t>
      </w:r>
    </w:p>
    <w:p>
      <w:pPr>
        <w:spacing w:after="60"/>
        <w:ind w:firstLine="567"/>
        <w:jc w:val="both"/>
      </w:pPr>
      <w:r>
        <w:rPr>
          <w:rFonts w:ascii="Arial" w:cs="Arial" w:eastAsia="Arial" w:hAnsi="Arial"/>
          <w:sz w:val="24"/>
          <w:szCs w:val="24"/>
        </w:rPr>
        <w:t xml:space="preserve">2. Агентство в своей деятельности руководствуется </w:t>
      </w:r>
      <w:hyperlink w:history="1" r:id="rIdajuqtmp367bpsjvdhm0r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Агентство является юридическим лицом - государственным учреждением на праве оперативного управления, не преследующим цели извлечения прибыли, наделенным полномочиями, правами и обязанностями, установленными </w:t>
      </w:r>
      <w:hyperlink w:history="1" r:id="rIdpxw6qg-gmpt9k5b786l3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 и настоящим Положением.</w:t>
      </w:r>
    </w:p>
    <w:p>
      <w:pPr>
        <w:spacing w:after="60"/>
        <w:ind w:firstLine="567"/>
        <w:jc w:val="both"/>
      </w:pPr>
      <w:r>
        <w:rPr>
          <w:rFonts w:ascii="Arial" w:cs="Arial" w:eastAsia="Arial" w:hAnsi="Arial"/>
          <w:sz w:val="24"/>
          <w:szCs w:val="24"/>
        </w:rPr>
        <w:t xml:space="preserve">4. Агентство имеет печать с изображением Государственного герба Кыргызской Республики и своим наименованием на государственном и официальном языках. Полное официальное наименование Агентства:</w:t>
      </w:r>
    </w:p>
    <w:p>
      <w:pPr>
        <w:spacing w:after="60"/>
        <w:ind w:firstLine="567"/>
        <w:jc w:val="both"/>
      </w:pPr>
      <w:r>
        <w:rPr>
          <w:rFonts w:ascii="Arial" w:cs="Arial" w:eastAsia="Arial" w:hAnsi="Arial"/>
          <w:sz w:val="24"/>
          <w:szCs w:val="24"/>
        </w:rPr>
        <w:t xml:space="preserve">на государственном языке: Кыргыз Республикасынын депозиттерди коргоо боюнча агенттиги;</w:t>
      </w:r>
    </w:p>
    <w:p>
      <w:pPr>
        <w:spacing w:after="60"/>
        <w:ind w:firstLine="567"/>
        <w:jc w:val="both"/>
      </w:pPr>
      <w:r>
        <w:rPr>
          <w:rFonts w:ascii="Arial" w:cs="Arial" w:eastAsia="Arial" w:hAnsi="Arial"/>
          <w:sz w:val="24"/>
          <w:szCs w:val="24"/>
        </w:rPr>
        <w:t xml:space="preserve">на официальном языке: Агентство по защите депозитов Кыргызской Республики.</w:t>
      </w:r>
    </w:p>
    <w:p>
      <w:pPr>
        <w:spacing w:after="60"/>
        <w:ind w:firstLine="567"/>
        <w:jc w:val="both"/>
      </w:pPr>
      <w:r>
        <w:rPr>
          <w:rFonts w:ascii="Arial" w:cs="Arial" w:eastAsia="Arial" w:hAnsi="Arial"/>
          <w:sz w:val="24"/>
          <w:szCs w:val="24"/>
        </w:rPr>
        <w:t xml:space="preserve">Агентство имеет штампы, фирменный бланк установленного образца.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kvs4_ksdwojduxndrwlw">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hyperlink w:history="1" r:id="rIdm3atc3d0adsfzluuyhsm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декабря 2019 года № 662 внесены изменения в текст пункта 4 на государственном языке.</w:t>
      </w:r>
    </w:p>
    <w:p>
      <w:pPr>
        <w:spacing w:after="60"/>
        <w:ind w:firstLine="567"/>
        <w:jc w:val="both"/>
      </w:pPr>
      <w:r>
        <w:rPr>
          <w:rFonts w:ascii="Arial" w:cs="Arial" w:eastAsia="Arial" w:hAnsi="Arial"/>
          <w:sz w:val="24"/>
          <w:szCs w:val="24"/>
        </w:rPr>
        <w:t xml:space="preserve">5. Счет Агентства, предназначенный для пополнения Фонда защиты депозитов за счет взносов Правительства Кыргызской Республики и коммерческих банков, микрофинансовых компаний, жилищно-сберегательных кредитных компаний, открывается и обслуживается в Национальном банке Кыргызской Республики. Банковские счета Агентства, предназначенные для содержания Агентства, открываются в коммерческих банках.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llhx7rb995hfzwg931yj">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Агентство имеет право создавать представительства и назначать своих представителей в регионах Кыргызской Республики.</w:t>
      </w:r>
    </w:p>
    <w:p>
      <w:pPr>
        <w:spacing w:after="60"/>
        <w:ind w:firstLine="567"/>
        <w:jc w:val="both"/>
      </w:pPr>
      <w:r>
        <w:rPr>
          <w:rFonts w:ascii="Arial" w:cs="Arial" w:eastAsia="Arial" w:hAnsi="Arial"/>
          <w:sz w:val="24"/>
          <w:szCs w:val="24"/>
        </w:rPr>
        <w:t xml:space="preserve">7. Государственные органы и органы местного самоуправления не имеют права вмешиваться в деятельность Агентства.</w:t>
      </w:r>
    </w:p>
    <w:p>
      <w:pPr>
        <w:spacing w:after="200" w:before="200"/>
        <w:jc w:val="center"/>
      </w:pPr>
      <w:r>
        <w:rPr>
          <w:rFonts w:ascii="Arial" w:cs="Arial" w:eastAsia="Arial" w:hAnsi="Arial"/>
          <w:b/>
          <w:bCs/>
          <w:sz w:val="24"/>
          <w:szCs w:val="24"/>
        </w:rPr>
        <w:t xml:space="preserve">2. Задачи Агентства</w:t>
      </w:r>
    </w:p>
    <w:p>
      <w:pPr>
        <w:spacing w:after="60"/>
        <w:ind w:firstLine="567"/>
        <w:jc w:val="both"/>
      </w:pPr>
      <w:r>
        <w:rPr>
          <w:rFonts w:ascii="Arial" w:cs="Arial" w:eastAsia="Arial" w:hAnsi="Arial"/>
          <w:sz w:val="24"/>
          <w:szCs w:val="24"/>
        </w:rPr>
        <w:t xml:space="preserve">8. Задачами Агентства являются:</w:t>
      </w:r>
    </w:p>
    <w:p>
      <w:pPr>
        <w:spacing w:after="60"/>
        <w:ind w:firstLine="567"/>
        <w:jc w:val="both"/>
      </w:pPr>
      <w:r>
        <w:rPr>
          <w:rFonts w:ascii="Arial" w:cs="Arial" w:eastAsia="Arial" w:hAnsi="Arial"/>
          <w:sz w:val="24"/>
          <w:szCs w:val="24"/>
        </w:rPr>
        <w:t xml:space="preserve">- обеспечение деятельности системы защиты депозитов в Кыргызской Республике;</w:t>
      </w:r>
    </w:p>
    <w:p>
      <w:pPr>
        <w:spacing w:after="60"/>
        <w:ind w:firstLine="567"/>
        <w:jc w:val="both"/>
      </w:pPr>
      <w:r>
        <w:rPr>
          <w:rFonts w:ascii="Arial" w:cs="Arial" w:eastAsia="Arial" w:hAnsi="Arial"/>
          <w:sz w:val="24"/>
          <w:szCs w:val="24"/>
        </w:rPr>
        <w:t xml:space="preserve">- обеспечение прав вкладчиков на защиту при наступлении гарантийного случая в соответствии с </w:t>
      </w:r>
      <w:hyperlink w:history="1" r:id="rIdy0edij7svznz-wzpdjx0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 формирование Фонда защиты депозитов;</w:t>
      </w:r>
    </w:p>
    <w:p>
      <w:pPr>
        <w:spacing w:after="60"/>
        <w:ind w:firstLine="567"/>
        <w:jc w:val="both"/>
      </w:pPr>
      <w:r>
        <w:rPr>
          <w:rFonts w:ascii="Arial" w:cs="Arial" w:eastAsia="Arial" w:hAnsi="Arial"/>
          <w:sz w:val="24"/>
          <w:szCs w:val="24"/>
        </w:rPr>
        <w:t xml:space="preserve">- эффективное управление свободными средствами Фонда защиты депозитов;</w:t>
      </w:r>
    </w:p>
    <w:p>
      <w:pPr>
        <w:spacing w:after="60"/>
        <w:ind w:firstLine="567"/>
        <w:jc w:val="both"/>
      </w:pPr>
      <w:r>
        <w:rPr>
          <w:rFonts w:ascii="Arial" w:cs="Arial" w:eastAsia="Arial" w:hAnsi="Arial"/>
          <w:sz w:val="24"/>
          <w:szCs w:val="24"/>
        </w:rPr>
        <w:t xml:space="preserve">- возврат средств выплаченных компенсаций от ликвидации банка, микрофинансовой компании, жилищно-сберегательной кредитной компании в Фонд защиты депозитов.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ppuibwlwxnzzyaw12iks">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Функции Агентства</w:t>
      </w:r>
    </w:p>
    <w:p>
      <w:pPr>
        <w:spacing w:after="60"/>
        <w:ind w:firstLine="567"/>
        <w:jc w:val="both"/>
      </w:pPr>
      <w:r>
        <w:rPr>
          <w:rFonts w:ascii="Arial" w:cs="Arial" w:eastAsia="Arial" w:hAnsi="Arial"/>
          <w:sz w:val="24"/>
          <w:szCs w:val="24"/>
        </w:rPr>
        <w:t xml:space="preserve">9. Функциями Агентства являются:</w:t>
      </w:r>
    </w:p>
    <w:p>
      <w:pPr>
        <w:spacing w:after="60"/>
        <w:ind w:firstLine="567"/>
        <w:jc w:val="both"/>
      </w:pPr>
      <w:r>
        <w:rPr>
          <w:rFonts w:ascii="Arial" w:cs="Arial" w:eastAsia="Arial" w:hAnsi="Arial"/>
          <w:sz w:val="24"/>
          <w:szCs w:val="24"/>
        </w:rPr>
        <w:t xml:space="preserve">- сбор и учет взносов для формирования Фонда защиты депозитов;</w:t>
      </w:r>
    </w:p>
    <w:p>
      <w:pPr>
        <w:spacing w:after="60"/>
        <w:ind w:firstLine="567"/>
        <w:jc w:val="both"/>
      </w:pPr>
      <w:r>
        <w:rPr>
          <w:rFonts w:ascii="Arial" w:cs="Arial" w:eastAsia="Arial" w:hAnsi="Arial"/>
          <w:sz w:val="24"/>
          <w:szCs w:val="24"/>
        </w:rPr>
        <w:t xml:space="preserve">- ведение реестра банков-участников, микрофинансовых компаний-участников, жилищно-сберегательных кредитных компаний-участников;</w:t>
      </w:r>
    </w:p>
    <w:p>
      <w:pPr>
        <w:spacing w:after="60"/>
        <w:ind w:firstLine="567"/>
        <w:jc w:val="both"/>
      </w:pPr>
      <w:r>
        <w:rPr>
          <w:rFonts w:ascii="Arial" w:cs="Arial" w:eastAsia="Arial" w:hAnsi="Arial"/>
          <w:sz w:val="24"/>
          <w:szCs w:val="24"/>
        </w:rPr>
        <w:t xml:space="preserve">- учет сумм, подлежащих к выплате, и сумм, компенсаций по депозитам;</w:t>
      </w:r>
    </w:p>
    <w:p>
      <w:pPr>
        <w:spacing w:after="60"/>
        <w:ind w:firstLine="567"/>
        <w:jc w:val="both"/>
      </w:pPr>
      <w:r>
        <w:rPr>
          <w:rFonts w:ascii="Arial" w:cs="Arial" w:eastAsia="Arial" w:hAnsi="Arial"/>
          <w:sz w:val="24"/>
          <w:szCs w:val="24"/>
        </w:rPr>
        <w:t xml:space="preserve">- выплата компенсационных сумм вкладчикам приемлемыми способами при наступлении гарантийного случая;</w:t>
      </w:r>
    </w:p>
    <w:p>
      <w:pPr>
        <w:spacing w:after="60"/>
        <w:ind w:firstLine="567"/>
        <w:jc w:val="both"/>
      </w:pPr>
      <w:r>
        <w:rPr>
          <w:rFonts w:ascii="Arial" w:cs="Arial" w:eastAsia="Arial" w:hAnsi="Arial"/>
          <w:sz w:val="24"/>
          <w:szCs w:val="24"/>
        </w:rPr>
        <w:t xml:space="preserve">- размещение свободных средств Фонда защиты депозитов и привлечение заемных и иных средств в случае их недостатка для выплаты вкладчикам компенсационных сумм;</w:t>
      </w:r>
    </w:p>
    <w:p>
      <w:pPr>
        <w:spacing w:after="60"/>
        <w:ind w:firstLine="567"/>
        <w:jc w:val="both"/>
      </w:pPr>
      <w:r>
        <w:rPr>
          <w:rFonts w:ascii="Arial" w:cs="Arial" w:eastAsia="Arial" w:hAnsi="Arial"/>
          <w:sz w:val="24"/>
          <w:szCs w:val="24"/>
        </w:rPr>
        <w:t xml:space="preserve">- расчет размера взносов на основе отчетности и сбор взносов банков-участников, микрофинансовых компаний-участников, жилищно-сберегательных кредитных компаний-участников в Фонд защиты депозитов;</w:t>
      </w:r>
    </w:p>
    <w:p>
      <w:pPr>
        <w:spacing w:after="60"/>
        <w:ind w:firstLine="567"/>
        <w:jc w:val="both"/>
      </w:pPr>
      <w:r>
        <w:rPr>
          <w:rFonts w:ascii="Arial" w:cs="Arial" w:eastAsia="Arial" w:hAnsi="Arial"/>
          <w:sz w:val="24"/>
          <w:szCs w:val="24"/>
        </w:rPr>
        <w:t xml:space="preserve">- установление соответствия в банках-участниках, микрофинансовых компаниях-участниках, жилищно-сберегательных кредитных компаниях-участниках системы защиты депозитов базы данных вкладчиков определенным требованиям;</w:t>
      </w:r>
    </w:p>
    <w:p>
      <w:pPr>
        <w:spacing w:after="60"/>
        <w:ind w:firstLine="567"/>
        <w:jc w:val="both"/>
      </w:pPr>
      <w:r>
        <w:rPr>
          <w:rFonts w:ascii="Arial" w:cs="Arial" w:eastAsia="Arial" w:hAnsi="Arial"/>
          <w:sz w:val="24"/>
          <w:szCs w:val="24"/>
        </w:rPr>
        <w:t xml:space="preserve">- внутренний контроль;</w:t>
      </w:r>
    </w:p>
    <w:p>
      <w:pPr>
        <w:spacing w:after="60"/>
        <w:ind w:firstLine="567"/>
        <w:jc w:val="both"/>
      </w:pPr>
      <w:r>
        <w:rPr>
          <w:rFonts w:ascii="Arial" w:cs="Arial" w:eastAsia="Arial" w:hAnsi="Arial"/>
          <w:sz w:val="24"/>
          <w:szCs w:val="24"/>
        </w:rPr>
        <w:t xml:space="preserve">-  осуществление отбора банка-агента в целях обеспечения выплаты компенсаций по вкладам;</w:t>
      </w:r>
    </w:p>
    <w:p>
      <w:pPr>
        <w:spacing w:after="60"/>
        <w:ind w:firstLine="567"/>
        <w:jc w:val="both"/>
      </w:pPr>
      <w:r>
        <w:rPr>
          <w:rFonts w:ascii="Arial" w:cs="Arial" w:eastAsia="Arial" w:hAnsi="Arial"/>
          <w:sz w:val="24"/>
          <w:szCs w:val="24"/>
        </w:rPr>
        <w:t xml:space="preserve">- обеспечение возмещения выплаченных компенсаций в Фонд защиты депозитов с ликвидируемого банка, микрофинансовой компании, жилищно-сберегательной кредитной компании в соответствии с </w:t>
      </w:r>
      <w:hyperlink w:history="1" r:id="rIduu1hhzsynnkf2hta0p8q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 проведение мероприятий по повышению осведомленности общества о системе защиты депозитов.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qkfa0yv7wo7pn5fsivfu">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8btilkqrvhlaqswxm28v1">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Полномочия Агентства</w:t>
      </w:r>
    </w:p>
    <w:p>
      <w:pPr>
        <w:spacing w:after="60"/>
        <w:ind w:firstLine="567"/>
        <w:jc w:val="both"/>
      </w:pPr>
      <w:r>
        <w:rPr>
          <w:rFonts w:ascii="Arial" w:cs="Arial" w:eastAsia="Arial" w:hAnsi="Arial"/>
          <w:sz w:val="24"/>
          <w:szCs w:val="24"/>
        </w:rPr>
        <w:t xml:space="preserve">10. Для реализации функций и задач Агентство имеет право:</w:t>
      </w:r>
    </w:p>
    <w:p>
      <w:pPr>
        <w:spacing w:after="60"/>
        <w:ind w:firstLine="567"/>
        <w:jc w:val="both"/>
      </w:pPr>
      <w:r>
        <w:rPr>
          <w:rFonts w:ascii="Arial" w:cs="Arial" w:eastAsia="Arial" w:hAnsi="Arial"/>
          <w:sz w:val="24"/>
          <w:szCs w:val="24"/>
        </w:rPr>
        <w:t xml:space="preserve">- заключать договоры и контракты, необходимые для осуществления деятельности Агентства;</w:t>
      </w:r>
    </w:p>
    <w:p>
      <w:pPr>
        <w:spacing w:after="60"/>
        <w:ind w:firstLine="567"/>
        <w:jc w:val="both"/>
      </w:pPr>
      <w:r>
        <w:rPr>
          <w:rFonts w:ascii="Arial" w:cs="Arial" w:eastAsia="Arial" w:hAnsi="Arial"/>
          <w:sz w:val="24"/>
          <w:szCs w:val="24"/>
        </w:rPr>
        <w:t xml:space="preserve">- привлекать при необходимости представителей государственных органов, частных и международных организаций, а также независимых экспертов для осуществления деятельности Агентства;</w:t>
      </w:r>
    </w:p>
    <w:p>
      <w:pPr>
        <w:spacing w:after="60"/>
        <w:ind w:firstLine="567"/>
        <w:jc w:val="both"/>
      </w:pPr>
      <w:r>
        <w:rPr>
          <w:rFonts w:ascii="Arial" w:cs="Arial" w:eastAsia="Arial" w:hAnsi="Arial"/>
          <w:sz w:val="24"/>
          <w:szCs w:val="24"/>
        </w:rPr>
        <w:t xml:space="preserve">- обращаться в Национальный банк Кыргызской Республики с предложением о применении к банкам, микрофинансовым компаниям, жилищно-сберегательным кредитным компаниям соответствующих мер воздействия, предусмотренные Законом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запрашивать у Национального банка Кыргызской Республики информацию, необходимую для выполнения возложенных на Агентство задач;</w:t>
      </w:r>
    </w:p>
    <w:p>
      <w:pPr>
        <w:spacing w:after="60"/>
        <w:ind w:firstLine="567"/>
        <w:jc w:val="both"/>
      </w:pPr>
      <w:r>
        <w:rPr>
          <w:rFonts w:ascii="Arial" w:cs="Arial" w:eastAsia="Arial" w:hAnsi="Arial"/>
          <w:sz w:val="24"/>
          <w:szCs w:val="24"/>
        </w:rPr>
        <w:t xml:space="preserve">-  требовать от банков-участников, микрофинансовых компаний-участников, жилищно-сберегательных кредитных компаний-участников размещения информации о системе защиты депозитов и участии их в системе защиты депозитов на территории предоставления банком, микрофинансовой компанией, жилищно-сберегательной кредитной компанией услуг вкладчикам в форме и порядке, определенных </w:t>
      </w:r>
      <w:hyperlink w:history="1" r:id="rIdmvsngjdnb9lnpqwzr1_y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 требовать от ликвидатора банка, микрофинансовой компании, жилищно-сберегательной кредитной компании в отношении, которого начата процедура банкротства информацию о депозитах физических лиц, на которые распространяются </w:t>
      </w:r>
      <w:hyperlink w:history="1" r:id="rIdp_2sqihqir_eo8wddpim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банковских вкладов (депозитов)" по установленной форме и в определенные сроки;</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ih8oypm_etwvjfxke2mp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21 июля 2017 года № 441);</w:t>
      </w:r>
    </w:p>
    <w:p>
      <w:pPr>
        <w:spacing w:after="60"/>
        <w:ind w:firstLine="567"/>
        <w:jc w:val="both"/>
      </w:pPr>
      <w:r>
        <w:rPr>
          <w:rFonts w:ascii="Arial" w:cs="Arial" w:eastAsia="Arial" w:hAnsi="Arial"/>
          <w:sz w:val="24"/>
          <w:szCs w:val="24"/>
        </w:rPr>
        <w:t xml:space="preserve">- приобретать недвижимое и движимое имущество, необходимое для обеспечения деятельности Агентства;</w:t>
      </w:r>
    </w:p>
    <w:p>
      <w:pPr>
        <w:spacing w:after="60"/>
        <w:ind w:firstLine="567"/>
        <w:jc w:val="both"/>
      </w:pPr>
      <w:r>
        <w:rPr>
          <w:rFonts w:ascii="Arial" w:cs="Arial" w:eastAsia="Arial" w:hAnsi="Arial"/>
          <w:sz w:val="24"/>
          <w:szCs w:val="24"/>
        </w:rPr>
        <w:t xml:space="preserve">- проводить необходимые действия, направленные на обеспечение своевременной и полной оплаты взносов, включая установление и наложение штрафов и пени банкам-участникам, микрофинансовым компаниям-участникам, жилищно-сберегательным кредитным компаниям-участникам за несвоевременную уплату взносов;</w:t>
      </w:r>
    </w:p>
    <w:p>
      <w:pPr>
        <w:spacing w:after="60"/>
        <w:ind w:firstLine="567"/>
        <w:jc w:val="both"/>
      </w:pPr>
      <w:r>
        <w:rPr>
          <w:rFonts w:ascii="Arial" w:cs="Arial" w:eastAsia="Arial" w:hAnsi="Arial"/>
          <w:sz w:val="24"/>
          <w:szCs w:val="24"/>
        </w:rPr>
        <w:t xml:space="preserve">- совместно с Национальным банком Кыргызской Республики и в соответствии с порядком, согласованным с Национальным банком Кыргызской Республики, участвовать в процессе урегулирования проблем банка на ранней стадии по вопросам установления соответствия ведения сведений о вкладах определенным требованиям, объему и структуре обязательств банков перед вкладчиками, уплаты взносов в Фонд защиты депозитов, а также исполнения банками иных обязанностей, установленных </w:t>
      </w:r>
      <w:hyperlink w:history="1" r:id="rId0ztabqlyhhjzg8iablzz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syfo-e_3jwqnvygo7xdk">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t7ij9w6erjf4pvb0q-xwk">
        <w:r>
          <w:rPr>
            <w:rFonts w:ascii="Arial" w:cs="Arial" w:eastAsia="Arial" w:hAnsi="Arial"/>
            <w:i/>
            <w:iCs/>
            <w:color w:val="1D4ED8"/>
            <w:sz w:val="24"/>
            <w:szCs w:val="24"/>
            <w:u w:val="single"/>
          </w:rPr>
          <w:t xml:space="preserve">21 июля 2017 года № 441</w:t>
        </w:r>
      </w:hyperlink>
      <w:r>
        <w:rPr>
          <w:rFonts w:ascii="Arial" w:cs="Arial" w:eastAsia="Arial" w:hAnsi="Arial"/>
          <w:i/>
          <w:iCs/>
          <w:sz w:val="24"/>
          <w:szCs w:val="24"/>
        </w:rPr>
        <w:t xml:space="preserve">, </w:t>
      </w:r>
      <w:hyperlink w:history="1" r:id="rId_coou1hb6gud4rqxli6fs">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Агентство не вправе:</w:t>
      </w:r>
    </w:p>
    <w:p>
      <w:pPr>
        <w:spacing w:after="60"/>
        <w:ind w:firstLine="567"/>
        <w:jc w:val="both"/>
      </w:pPr>
      <w:r>
        <w:rPr>
          <w:rFonts w:ascii="Arial" w:cs="Arial" w:eastAsia="Arial" w:hAnsi="Arial"/>
          <w:sz w:val="24"/>
          <w:szCs w:val="24"/>
        </w:rPr>
        <w:t xml:space="preserve">- заниматься деятельностью, выходящей за пределы его задач, функций и полномочий, определенных </w:t>
      </w:r>
      <w:hyperlink w:history="1" r:id="rIdodnjhnitllr0wtorlbzj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 создавать или быть участником юридических лиц;</w:t>
      </w:r>
    </w:p>
    <w:p>
      <w:pPr>
        <w:spacing w:after="60"/>
        <w:ind w:firstLine="567"/>
        <w:jc w:val="both"/>
      </w:pPr>
      <w:r>
        <w:rPr>
          <w:rFonts w:ascii="Arial" w:cs="Arial" w:eastAsia="Arial" w:hAnsi="Arial"/>
          <w:sz w:val="24"/>
          <w:szCs w:val="24"/>
        </w:rPr>
        <w:t xml:space="preserve">- осуществлять кредитование, предоставлять в любой форме финансовую и нефинансовую помощь Правительству Кыргызской Республики, другим государственным органам, юридическим и физическим лицам.</w:t>
      </w:r>
    </w:p>
    <w:p>
      <w:pPr>
        <w:spacing w:after="200" w:before="200"/>
        <w:jc w:val="center"/>
      </w:pPr>
      <w:r>
        <w:rPr>
          <w:rFonts w:ascii="Arial" w:cs="Arial" w:eastAsia="Arial" w:hAnsi="Arial"/>
          <w:b/>
          <w:bCs/>
          <w:sz w:val="24"/>
          <w:szCs w:val="24"/>
        </w:rPr>
        <w:t xml:space="preserve">5. Органы управления Агентством</w:t>
      </w:r>
    </w:p>
    <w:p>
      <w:pPr>
        <w:spacing w:after="60"/>
        <w:ind w:firstLine="567"/>
        <w:jc w:val="both"/>
      </w:pPr>
      <w:r>
        <w:rPr>
          <w:rFonts w:ascii="Arial" w:cs="Arial" w:eastAsia="Arial" w:hAnsi="Arial"/>
          <w:sz w:val="24"/>
          <w:szCs w:val="24"/>
        </w:rPr>
        <w:t xml:space="preserve">12. Органами управления Агентства являются Совет директоров и исполнительный директор Агентства.</w:t>
      </w:r>
    </w:p>
    <w:p>
      <w:pPr>
        <w:spacing w:after="60"/>
        <w:ind w:firstLine="567"/>
        <w:jc w:val="both"/>
      </w:pPr>
      <w:r>
        <w:rPr>
          <w:rFonts w:ascii="Arial" w:cs="Arial" w:eastAsia="Arial" w:hAnsi="Arial"/>
          <w:sz w:val="24"/>
          <w:szCs w:val="24"/>
        </w:rPr>
        <w:t xml:space="preserve">13. Совет директоров Агентства (далее - Совет директоров) является высшим органом управления Агентства, состоящим из семи членов:</w:t>
      </w:r>
    </w:p>
    <w:p>
      <w:pPr>
        <w:spacing w:after="60"/>
        <w:ind w:firstLine="567"/>
        <w:jc w:val="both"/>
      </w:pPr>
      <w:r>
        <w:rPr>
          <w:rFonts w:ascii="Arial" w:cs="Arial" w:eastAsia="Arial" w:hAnsi="Arial"/>
          <w:sz w:val="24"/>
          <w:szCs w:val="24"/>
        </w:rPr>
        <w:t xml:space="preserve">- трех представителей Правительства Кыргызской Республики, в том числе одного представителя Министерства экономики Кыргызской Республики и двух - Министерства финансов Кыргызской Республики (не ниже уровня члена коллегии), назначаемых Премьер-министром Кыргызской Республики;</w:t>
      </w:r>
    </w:p>
    <w:p>
      <w:pPr>
        <w:spacing w:after="60"/>
        <w:ind w:firstLine="567"/>
        <w:jc w:val="both"/>
      </w:pPr>
      <w:r>
        <w:rPr>
          <w:rFonts w:ascii="Arial" w:cs="Arial" w:eastAsia="Arial" w:hAnsi="Arial"/>
          <w:sz w:val="24"/>
          <w:szCs w:val="24"/>
        </w:rPr>
        <w:t xml:space="preserve">- трех представителей Национального банка Кыргызской Республики (не ниже уровня члена правления Национального банка), назначаемых правлением Национального банка;</w:t>
      </w:r>
    </w:p>
    <w:p>
      <w:pPr>
        <w:spacing w:after="60"/>
        <w:ind w:firstLine="567"/>
        <w:jc w:val="both"/>
      </w:pPr>
      <w:r>
        <w:rPr>
          <w:rFonts w:ascii="Arial" w:cs="Arial" w:eastAsia="Arial" w:hAnsi="Arial"/>
          <w:sz w:val="24"/>
          <w:szCs w:val="24"/>
        </w:rPr>
        <w:t xml:space="preserve">- независимого эксперта в области банковского дела, назначаемого совместным решением Правительства Кыргызской Республики и Национального банка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tnrys9bfewrdhnz6k5on">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Члены Совета директоров осуществляют свою деятельность на безвозмездной основе.</w:t>
      </w:r>
    </w:p>
    <w:p>
      <w:pPr>
        <w:spacing w:after="60"/>
        <w:ind w:firstLine="567"/>
        <w:jc w:val="both"/>
      </w:pPr>
      <w:r>
        <w:rPr>
          <w:rFonts w:ascii="Arial" w:cs="Arial" w:eastAsia="Arial" w:hAnsi="Arial"/>
          <w:sz w:val="24"/>
          <w:szCs w:val="24"/>
        </w:rPr>
        <w:t xml:space="preserve">15.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w:t>
      </w:r>
    </w:p>
    <w:p>
      <w:pPr>
        <w:spacing w:after="60"/>
        <w:ind w:firstLine="567"/>
        <w:jc w:val="both"/>
      </w:pPr>
      <w:r>
        <w:rPr>
          <w:rFonts w:ascii="Arial" w:cs="Arial" w:eastAsia="Arial" w:hAnsi="Arial"/>
          <w:sz w:val="24"/>
          <w:szCs w:val="24"/>
        </w:rPr>
        <w:t xml:space="preserve">16.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w:t>
      </w:r>
    </w:p>
    <w:p>
      <w:pPr>
        <w:spacing w:after="60"/>
        <w:ind w:firstLine="567"/>
        <w:jc w:val="both"/>
      </w:pPr>
      <w:r>
        <w:rPr>
          <w:rFonts w:ascii="Arial" w:cs="Arial" w:eastAsia="Arial" w:hAnsi="Arial"/>
          <w:sz w:val="24"/>
          <w:szCs w:val="24"/>
        </w:rPr>
        <w:t xml:space="preserve">17. К исключительной компетенции Совета директоров Агентства относятся:</w:t>
      </w:r>
    </w:p>
    <w:p>
      <w:pPr>
        <w:spacing w:after="60"/>
        <w:ind w:firstLine="567"/>
        <w:jc w:val="both"/>
      </w:pPr>
      <w:r>
        <w:rPr>
          <w:rFonts w:ascii="Arial" w:cs="Arial" w:eastAsia="Arial" w:hAnsi="Arial"/>
          <w:sz w:val="24"/>
          <w:szCs w:val="24"/>
        </w:rPr>
        <w:t xml:space="preserve">- утверждение по представлению исполнительного директора Агентства размеров календарных и чрезвычайных взносов в Фонд защиты депозитов;</w:t>
      </w:r>
    </w:p>
    <w:p>
      <w:pPr>
        <w:spacing w:after="60"/>
        <w:ind w:firstLine="567"/>
        <w:jc w:val="both"/>
      </w:pPr>
      <w:r>
        <w:rPr>
          <w:rFonts w:ascii="Arial" w:cs="Arial" w:eastAsia="Arial" w:hAnsi="Arial"/>
          <w:sz w:val="24"/>
          <w:szCs w:val="24"/>
        </w:rPr>
        <w:t xml:space="preserve">- утверждение организационной структуры Агентства;</w:t>
      </w:r>
    </w:p>
    <w:p>
      <w:pPr>
        <w:spacing w:after="60"/>
        <w:ind w:firstLine="567"/>
        <w:jc w:val="both"/>
      </w:pPr>
      <w:r>
        <w:rPr>
          <w:rFonts w:ascii="Arial" w:cs="Arial" w:eastAsia="Arial" w:hAnsi="Arial"/>
          <w:sz w:val="24"/>
          <w:szCs w:val="24"/>
        </w:rPr>
        <w:t xml:space="preserve">- осуществление руководства деятельностью службы внутреннего аудита Агентства;</w:t>
      </w:r>
    </w:p>
    <w:p>
      <w:pPr>
        <w:spacing w:after="60"/>
        <w:ind w:firstLine="567"/>
        <w:jc w:val="both"/>
      </w:pPr>
      <w:r>
        <w:rPr>
          <w:rFonts w:ascii="Arial" w:cs="Arial" w:eastAsia="Arial" w:hAnsi="Arial"/>
          <w:sz w:val="24"/>
          <w:szCs w:val="24"/>
        </w:rPr>
        <w:t xml:space="preserve">- по представлению исполнительного директора Агентства принятие решения о выплате компенсаций вкладчикам при наступлении гарантийного случая;</w:t>
      </w:r>
    </w:p>
    <w:p>
      <w:pPr>
        <w:spacing w:after="60"/>
        <w:ind w:firstLine="567"/>
        <w:jc w:val="both"/>
      </w:pPr>
      <w:r>
        <w:rPr>
          <w:rFonts w:ascii="Arial" w:cs="Arial" w:eastAsia="Arial" w:hAnsi="Arial"/>
          <w:sz w:val="24"/>
          <w:szCs w:val="24"/>
        </w:rPr>
        <w:t xml:space="preserve">- по представлению исполнительного директора Агентства определение инвестиционной политики, установление ограничений по контрагентам Агентства;</w:t>
      </w:r>
    </w:p>
    <w:p>
      <w:pPr>
        <w:spacing w:after="60"/>
        <w:ind w:firstLine="567"/>
        <w:jc w:val="both"/>
      </w:pPr>
      <w:r>
        <w:rPr>
          <w:rFonts w:ascii="Arial" w:cs="Arial" w:eastAsia="Arial" w:hAnsi="Arial"/>
          <w:sz w:val="24"/>
          <w:szCs w:val="24"/>
        </w:rPr>
        <w:t xml:space="preserve">- утверждение бюджета Агентства и отчета о его исполнении;</w:t>
      </w:r>
    </w:p>
    <w:p>
      <w:pPr>
        <w:spacing w:after="60"/>
        <w:ind w:firstLine="567"/>
        <w:jc w:val="both"/>
      </w:pPr>
      <w:r>
        <w:rPr>
          <w:rFonts w:ascii="Arial" w:cs="Arial" w:eastAsia="Arial" w:hAnsi="Arial"/>
          <w:sz w:val="24"/>
          <w:szCs w:val="24"/>
        </w:rPr>
        <w:t xml:space="preserve">- утверждение годового отчета Агентства;</w:t>
      </w:r>
    </w:p>
    <w:p>
      <w:pPr>
        <w:spacing w:after="60"/>
        <w:ind w:firstLine="567"/>
        <w:jc w:val="both"/>
      </w:pPr>
      <w:r>
        <w:rPr>
          <w:rFonts w:ascii="Arial" w:cs="Arial" w:eastAsia="Arial" w:hAnsi="Arial"/>
          <w:sz w:val="24"/>
          <w:szCs w:val="24"/>
        </w:rPr>
        <w:t xml:space="preserve">- ежегодное заслушивание отчета исполнительного директора Агентства;</w:t>
      </w:r>
    </w:p>
    <w:p>
      <w:pPr>
        <w:spacing w:after="60"/>
        <w:ind w:firstLine="567"/>
        <w:jc w:val="both"/>
      </w:pPr>
      <w:r>
        <w:rPr>
          <w:rFonts w:ascii="Arial" w:cs="Arial" w:eastAsia="Arial" w:hAnsi="Arial"/>
          <w:sz w:val="24"/>
          <w:szCs w:val="24"/>
        </w:rPr>
        <w:t xml:space="preserve">- утверждение комплексной политики Агентства по конфликту интересов;</w:t>
      </w:r>
    </w:p>
    <w:p>
      <w:pPr>
        <w:spacing w:after="60"/>
        <w:ind w:firstLine="567"/>
        <w:jc w:val="both"/>
      </w:pPr>
      <w:r>
        <w:rPr>
          <w:rFonts w:ascii="Arial" w:cs="Arial" w:eastAsia="Arial" w:hAnsi="Arial"/>
          <w:sz w:val="24"/>
          <w:szCs w:val="24"/>
        </w:rPr>
        <w:t xml:space="preserve">- ежегодное определение на тендерной основе независимой аудиторской организации для проведения внешнего аудита и получение результатов проведенного аудита Агентства;</w:t>
      </w:r>
    </w:p>
    <w:p>
      <w:pPr>
        <w:spacing w:after="60"/>
        <w:ind w:firstLine="567"/>
        <w:jc w:val="both"/>
      </w:pPr>
      <w:r>
        <w:rPr>
          <w:rFonts w:ascii="Arial" w:cs="Arial" w:eastAsia="Arial" w:hAnsi="Arial"/>
          <w:sz w:val="24"/>
          <w:szCs w:val="24"/>
        </w:rPr>
        <w:t xml:space="preserve">- дача согласия на заимствование Агентством средств для покрытия обязательств согласно требованиям </w:t>
      </w:r>
      <w:hyperlink w:history="1" r:id="rId6wetg4rv1bvkzlfc9fjl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 утверждение стратегического плана развития Агентства и системы защиты депозитов;</w:t>
      </w:r>
    </w:p>
    <w:p>
      <w:pPr>
        <w:spacing w:after="60"/>
        <w:ind w:firstLine="567"/>
        <w:jc w:val="both"/>
      </w:pPr>
      <w:r>
        <w:rPr>
          <w:rFonts w:ascii="Arial" w:cs="Arial" w:eastAsia="Arial" w:hAnsi="Arial"/>
          <w:sz w:val="24"/>
          <w:szCs w:val="24"/>
        </w:rPr>
        <w:t xml:space="preserve">- утверждение программы Агентства по повышению осведомленности общественности о системе защиты депозитов;</w:t>
      </w:r>
    </w:p>
    <w:p>
      <w:pPr>
        <w:spacing w:after="60"/>
        <w:ind w:firstLine="567"/>
        <w:jc w:val="both"/>
      </w:pPr>
      <w:r>
        <w:rPr>
          <w:rFonts w:ascii="Arial" w:cs="Arial" w:eastAsia="Arial" w:hAnsi="Arial"/>
          <w:sz w:val="24"/>
          <w:szCs w:val="24"/>
        </w:rPr>
        <w:t xml:space="preserve">- осуществление иных полномочий, предусмотренных </w:t>
      </w:r>
      <w:hyperlink w:history="1" r:id="rIdbr3hg2lmtqx7wrdxgaug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p-hv7e8vvzu7izb7lpzi">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3wqzhwh4izsvp_wbexe_m">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hyperlink w:history="1" r:id="rIdxr9wafjdsjvgc0ggvb8w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декабря 2019 года № 662 внесены изменения в текст пункта 17 на государственном языке.</w:t>
      </w:r>
    </w:p>
    <w:p>
      <w:pPr>
        <w:spacing w:after="60"/>
        <w:ind w:firstLine="567"/>
        <w:jc w:val="both"/>
      </w:pPr>
      <w:r>
        <w:rPr>
          <w:rFonts w:ascii="Arial" w:cs="Arial" w:eastAsia="Arial" w:hAnsi="Arial"/>
          <w:sz w:val="24"/>
          <w:szCs w:val="24"/>
        </w:rPr>
        <w:t xml:space="preserve">18. Совет директоров проводит заседания в соответствии с утвержденным на своем заседании регламентом. Кворум на заседании Совета директоров состоит из пяти членов. Решения принимаются простым большинством голосов от общего числа членов Совета директоров. При равенстве голосов голос председателя Совета директоров является решающим.</w:t>
      </w:r>
    </w:p>
    <w:p>
      <w:pPr>
        <w:spacing w:after="60"/>
        <w:ind w:firstLine="567"/>
        <w:jc w:val="both"/>
      </w:pPr>
      <w:r>
        <w:rPr>
          <w:rFonts w:ascii="Arial" w:cs="Arial" w:eastAsia="Arial" w:hAnsi="Arial"/>
          <w:sz w:val="24"/>
          <w:szCs w:val="24"/>
        </w:rPr>
        <w:t xml:space="preserve">19. Внеочередные заседания Совета директоров могут созываться по инициативе председателя Совета директоров либо четырех членов Совета директоров.</w:t>
      </w:r>
    </w:p>
    <w:p>
      <w:pPr>
        <w:spacing w:after="60"/>
        <w:ind w:firstLine="567"/>
        <w:jc w:val="both"/>
      </w:pPr>
      <w:r>
        <w:rPr>
          <w:rFonts w:ascii="Arial" w:cs="Arial" w:eastAsia="Arial" w:hAnsi="Arial"/>
          <w:sz w:val="24"/>
          <w:szCs w:val="24"/>
        </w:rPr>
        <w:t xml:space="preserve">Члены Совета директоров не могут делегировать свои полномочия.</w:t>
      </w:r>
    </w:p>
    <w:p>
      <w:pPr>
        <w:spacing w:after="60"/>
        <w:ind w:firstLine="567"/>
        <w:jc w:val="both"/>
      </w:pPr>
      <w:r>
        <w:rPr>
          <w:rFonts w:ascii="Arial" w:cs="Arial" w:eastAsia="Arial" w:hAnsi="Arial"/>
          <w:sz w:val="24"/>
          <w:szCs w:val="24"/>
        </w:rPr>
        <w:t xml:space="preserve">На каждом собрании секретарем Совета директоров ведется протокол, подписываемый председательствующим на заседании членом Совета директоров и секретарем. Решения Совета директоров принимаются в форме постановлений, подписываемых председателем.</w:t>
      </w:r>
    </w:p>
    <w:p>
      <w:pPr>
        <w:spacing w:after="60"/>
        <w:ind w:firstLine="567"/>
        <w:jc w:val="both"/>
      </w:pPr>
      <w:r>
        <w:rPr>
          <w:rFonts w:ascii="Arial" w:cs="Arial" w:eastAsia="Arial" w:hAnsi="Arial"/>
          <w:sz w:val="24"/>
          <w:szCs w:val="24"/>
        </w:rPr>
        <w:t xml:space="preserve">20. Руководство Агентством осуществляется исполнительным директором Агентства на принципах единоначалия.</w:t>
      </w:r>
    </w:p>
    <w:p>
      <w:pPr>
        <w:spacing w:after="60"/>
        <w:ind w:firstLine="567"/>
        <w:jc w:val="both"/>
      </w:pPr>
      <w:r>
        <w:rPr>
          <w:rFonts w:ascii="Arial" w:cs="Arial" w:eastAsia="Arial" w:hAnsi="Arial"/>
          <w:sz w:val="24"/>
          <w:szCs w:val="24"/>
        </w:rPr>
        <w:t xml:space="preserve">21. Исполнительный директор Агентства:</w:t>
      </w:r>
    </w:p>
    <w:p>
      <w:pPr>
        <w:spacing w:after="60"/>
        <w:ind w:firstLine="567"/>
        <w:jc w:val="both"/>
      </w:pPr>
      <w:r>
        <w:rPr>
          <w:rFonts w:ascii="Arial" w:cs="Arial" w:eastAsia="Arial" w:hAnsi="Arial"/>
          <w:sz w:val="24"/>
          <w:szCs w:val="24"/>
        </w:rPr>
        <w:t xml:space="preserve">- принимает решения по всем вопросам деятельности Агентства, за исключением вопросов, отнесенных к компетенции Совета директоров Агентства;</w:t>
      </w:r>
    </w:p>
    <w:p>
      <w:pPr>
        <w:spacing w:after="60"/>
        <w:ind w:firstLine="567"/>
        <w:jc w:val="both"/>
      </w:pPr>
      <w:r>
        <w:rPr>
          <w:rFonts w:ascii="Arial" w:cs="Arial" w:eastAsia="Arial" w:hAnsi="Arial"/>
          <w:sz w:val="24"/>
          <w:szCs w:val="24"/>
        </w:rPr>
        <w:t xml:space="preserve">- издает приказы и распоряжения по вопросам деятельности Агентства, назначает на должность и освобождает от должности работников Агентства;</w:t>
      </w:r>
    </w:p>
    <w:p>
      <w:pPr>
        <w:spacing w:after="60"/>
        <w:ind w:firstLine="567"/>
        <w:jc w:val="both"/>
      </w:pPr>
      <w:r>
        <w:rPr>
          <w:rFonts w:ascii="Arial" w:cs="Arial" w:eastAsia="Arial" w:hAnsi="Arial"/>
          <w:sz w:val="24"/>
          <w:szCs w:val="24"/>
        </w:rPr>
        <w:t xml:space="preserve">- в соответствии с трудовым законодательством Кыргызской Республики определяет условия приема на работу, систему оплаты труда, служебные обязанности и права, систему поощрений и дисциплинарных взысканий для работников Агентства;</w:t>
      </w:r>
    </w:p>
    <w:p>
      <w:pPr>
        <w:spacing w:after="60"/>
        <w:ind w:firstLine="567"/>
        <w:jc w:val="both"/>
      </w:pPr>
      <w:r>
        <w:rPr>
          <w:rFonts w:ascii="Arial" w:cs="Arial" w:eastAsia="Arial" w:hAnsi="Arial"/>
          <w:sz w:val="24"/>
          <w:szCs w:val="24"/>
        </w:rPr>
        <w:t xml:space="preserve">- заключает договоры и контракты с физическими и юридическими лицами, необходимые для осуществления деятельности Агентства;</w:t>
      </w:r>
    </w:p>
    <w:p>
      <w:pPr>
        <w:spacing w:after="60"/>
        <w:ind w:firstLine="567"/>
        <w:jc w:val="both"/>
      </w:pPr>
      <w:r>
        <w:rPr>
          <w:rFonts w:ascii="Arial" w:cs="Arial" w:eastAsia="Arial" w:hAnsi="Arial"/>
          <w:sz w:val="24"/>
          <w:szCs w:val="24"/>
        </w:rPr>
        <w:t xml:space="preserve">- выступает от имени Агентства и представляет интересы Агентства во всех судебных органах, государственных органах и других учреждениях и организациях независимо от организационно-правовой формы, а также в отношениях с индивидуальными предпринимателями и гражданами;</w:t>
      </w:r>
    </w:p>
    <w:p>
      <w:pPr>
        <w:spacing w:after="60"/>
        <w:ind w:firstLine="567"/>
        <w:jc w:val="both"/>
      </w:pPr>
      <w:r>
        <w:rPr>
          <w:rFonts w:ascii="Arial" w:cs="Arial" w:eastAsia="Arial" w:hAnsi="Arial"/>
          <w:sz w:val="24"/>
          <w:szCs w:val="24"/>
        </w:rPr>
        <w:t xml:space="preserve">- вносит на рассмотрение Совета директоров кандидатуру заместителя исполнительного директора для представления на назначение на должность и/или освобождение от должности;</w:t>
      </w:r>
    </w:p>
    <w:p>
      <w:pPr>
        <w:spacing w:after="60"/>
        <w:ind w:firstLine="567"/>
        <w:jc w:val="both"/>
      </w:pPr>
      <w:r>
        <w:rPr>
          <w:rFonts w:ascii="Arial" w:cs="Arial" w:eastAsia="Arial" w:hAnsi="Arial"/>
          <w:sz w:val="24"/>
          <w:szCs w:val="24"/>
        </w:rPr>
        <w:t xml:space="preserve">- участвует в заседании Совета директоров и представляет на рассмотрение Совета директоров соответствующие вопросы, входящие в его компетенцию;</w:t>
      </w:r>
    </w:p>
    <w:p>
      <w:pPr>
        <w:spacing w:after="60"/>
        <w:ind w:firstLine="567"/>
        <w:jc w:val="both"/>
      </w:pPr>
      <w:r>
        <w:rPr>
          <w:rFonts w:ascii="Arial" w:cs="Arial" w:eastAsia="Arial" w:hAnsi="Arial"/>
          <w:sz w:val="24"/>
          <w:szCs w:val="24"/>
        </w:rPr>
        <w:t xml:space="preserve">- отвечает за текущую деятельность Агентства;</w:t>
      </w:r>
    </w:p>
    <w:p>
      <w:pPr>
        <w:spacing w:after="60"/>
        <w:ind w:firstLine="567"/>
        <w:jc w:val="both"/>
      </w:pPr>
      <w:r>
        <w:rPr>
          <w:rFonts w:ascii="Arial" w:cs="Arial" w:eastAsia="Arial" w:hAnsi="Arial"/>
          <w:sz w:val="24"/>
          <w:szCs w:val="24"/>
        </w:rPr>
        <w:t xml:space="preserve">- несет ответственность за использование средств Фонда защиты депозитов, а также реализацию и результаты проводимой инвестиционной деятельности Агентства;</w:t>
      </w:r>
    </w:p>
    <w:p>
      <w:pPr>
        <w:spacing w:after="60"/>
        <w:ind w:firstLine="567"/>
        <w:jc w:val="both"/>
      </w:pPr>
      <w:r>
        <w:rPr>
          <w:rFonts w:ascii="Arial" w:cs="Arial" w:eastAsia="Arial" w:hAnsi="Arial"/>
          <w:sz w:val="24"/>
          <w:szCs w:val="24"/>
        </w:rPr>
        <w:t xml:space="preserve">- осуществляет другие функции, полномочия и права, необходимые для обеспечения эффективной деятельности Агентства.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0wrf3t76ym6oxwj0bibe">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 </w:t>
      </w:r>
      <w:hyperlink w:history="1" r:id="rIdl1uc_9-94kz43qqm_sfyj">
        <w:r>
          <w:rPr>
            <w:rFonts w:ascii="Arial" w:cs="Arial" w:eastAsia="Arial" w:hAnsi="Arial"/>
            <w:i/>
            <w:iCs/>
            <w:color w:val="1D4ED8"/>
            <w:sz w:val="24"/>
            <w:szCs w:val="24"/>
            <w:u w:val="single"/>
          </w:rPr>
          <w:t xml:space="preserve">5 декабря 2019 года № 662</w:t>
        </w:r>
      </w:hyperlink>
      <w:r>
        <w:rPr>
          <w:rFonts w:ascii="Arial" w:cs="Arial" w:eastAsia="Arial" w:hAnsi="Arial"/>
          <w:i/>
          <w:iCs/>
          <w:sz w:val="24"/>
          <w:szCs w:val="24"/>
        </w:rPr>
        <w:t xml:space="preserve">)</w:t>
      </w:r>
    </w:p>
    <w:p>
      <w:pPr>
        <w:spacing w:after="60"/>
        <w:ind w:firstLine="567"/>
        <w:jc w:val="both"/>
      </w:pPr>
      <w:hyperlink w:history="1" r:id="rIdydsbp62ljbvknnipxgw9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декабря 2019 года № 662 внесены изменения в текст пункта 21 на государственном языке.</w:t>
      </w:r>
    </w:p>
    <w:p>
      <w:pPr>
        <w:spacing w:after="60"/>
        <w:ind w:firstLine="567"/>
        <w:jc w:val="both"/>
      </w:pPr>
      <w:r>
        <w:rPr>
          <w:rFonts w:ascii="Arial" w:cs="Arial" w:eastAsia="Arial" w:hAnsi="Arial"/>
          <w:sz w:val="24"/>
          <w:szCs w:val="24"/>
        </w:rPr>
        <w:t xml:space="preserve">22. Исполнительный директор и его заместитель назначаются Президентом по представлению Совета директоров Агентства.</w:t>
      </w:r>
    </w:p>
    <w:p>
      <w:pPr>
        <w:spacing w:after="60"/>
        <w:ind w:firstLine="567"/>
        <w:jc w:val="both"/>
      </w:pPr>
      <w:r>
        <w:rPr>
          <w:rFonts w:ascii="Arial" w:cs="Arial" w:eastAsia="Arial" w:hAnsi="Arial"/>
          <w:sz w:val="24"/>
          <w:szCs w:val="24"/>
        </w:rPr>
        <w:t xml:space="preserve">Исполнительный директор и его заместитель могут быть вновь назначены на должность.</w:t>
      </w:r>
    </w:p>
    <w:p>
      <w:pPr>
        <w:spacing w:after="60"/>
        <w:ind w:firstLine="567"/>
        <w:jc w:val="both"/>
      </w:pPr>
      <w:r>
        <w:rPr>
          <w:rFonts w:ascii="Arial" w:cs="Arial" w:eastAsia="Arial" w:hAnsi="Arial"/>
          <w:sz w:val="24"/>
          <w:szCs w:val="24"/>
        </w:rPr>
        <w:t xml:space="preserve">Исполнительный директор и его заместитель освобождаются от должности в следующих случаях:</w:t>
      </w:r>
    </w:p>
    <w:p>
      <w:pPr>
        <w:spacing w:after="60"/>
        <w:ind w:firstLine="567"/>
        <w:jc w:val="both"/>
      </w:pPr>
      <w:r>
        <w:rPr>
          <w:rFonts w:ascii="Arial" w:cs="Arial" w:eastAsia="Arial" w:hAnsi="Arial"/>
          <w:sz w:val="24"/>
          <w:szCs w:val="24"/>
        </w:rPr>
        <w:t xml:space="preserve">1) по личному заявлению;</w:t>
      </w:r>
    </w:p>
    <w:p>
      <w:pPr>
        <w:spacing w:after="60"/>
        <w:ind w:firstLine="567"/>
        <w:jc w:val="both"/>
      </w:pPr>
      <w:r>
        <w:rPr>
          <w:rFonts w:ascii="Arial" w:cs="Arial" w:eastAsia="Arial" w:hAnsi="Arial"/>
          <w:sz w:val="24"/>
          <w:szCs w:val="24"/>
        </w:rPr>
        <w:t xml:space="preserve">2) при совершении уголовно наказуемого деяния, установленного вступившим в законную силу приговором суда;</w:t>
      </w:r>
    </w:p>
    <w:p>
      <w:pPr>
        <w:spacing w:after="60"/>
        <w:ind w:firstLine="567"/>
        <w:jc w:val="both"/>
      </w:pPr>
      <w:r>
        <w:rPr>
          <w:rFonts w:ascii="Arial" w:cs="Arial" w:eastAsia="Arial" w:hAnsi="Arial"/>
          <w:sz w:val="24"/>
          <w:szCs w:val="24"/>
        </w:rPr>
        <w:t xml:space="preserve">3) при невозможности исполнения служебных обязанностей, подтвержденной заключением государственной медицинской комиссии;</w:t>
      </w:r>
    </w:p>
    <w:p>
      <w:pPr>
        <w:spacing w:after="60"/>
        <w:ind w:firstLine="567"/>
        <w:jc w:val="both"/>
      </w:pPr>
      <w:r>
        <w:rPr>
          <w:rFonts w:ascii="Arial" w:cs="Arial" w:eastAsia="Arial" w:hAnsi="Arial"/>
          <w:sz w:val="24"/>
          <w:szCs w:val="24"/>
        </w:rPr>
        <w:t xml:space="preserve">4) утраты гражданства Кыргызской Республики;</w:t>
      </w:r>
    </w:p>
    <w:p>
      <w:pPr>
        <w:spacing w:after="60"/>
        <w:ind w:firstLine="567"/>
        <w:jc w:val="both"/>
      </w:pPr>
      <w:r>
        <w:rPr>
          <w:rFonts w:ascii="Arial" w:cs="Arial" w:eastAsia="Arial" w:hAnsi="Arial"/>
          <w:sz w:val="24"/>
          <w:szCs w:val="24"/>
        </w:rPr>
        <w:t xml:space="preserve">5) при несоответствии и невыполнении (нарушении) требований, предусмотренных статьями </w:t>
      </w:r>
      <w:r>
        <w:rPr>
          <w:rFonts w:ascii="Arial" w:cs="Arial" w:eastAsia="Arial" w:hAnsi="Arial"/>
          <w:sz w:val="24"/>
          <w:szCs w:val="24"/>
        </w:rPr>
        <w:t xml:space="preserve">18</w:t>
      </w:r>
      <w:r>
        <w:rPr>
          <w:rFonts w:ascii="Arial" w:cs="Arial" w:eastAsia="Arial" w:hAnsi="Arial"/>
          <w:sz w:val="24"/>
          <w:szCs w:val="24"/>
        </w:rPr>
        <w:t xml:space="preserve"> и </w:t>
      </w:r>
      <w:r>
        <w:rPr>
          <w:rFonts w:ascii="Arial" w:cs="Arial" w:eastAsia="Arial" w:hAnsi="Arial"/>
          <w:sz w:val="24"/>
          <w:szCs w:val="24"/>
        </w:rPr>
        <w:t xml:space="preserve">19</w:t>
      </w:r>
      <w:r>
        <w:rPr>
          <w:rFonts w:ascii="Arial" w:cs="Arial" w:eastAsia="Arial" w:hAnsi="Arial"/>
          <w:sz w:val="24"/>
          <w:szCs w:val="24"/>
        </w:rPr>
        <w:t xml:space="preserve"> </w:t>
      </w:r>
      <w:hyperlink w:history="1" r:id="rIdznpmbirbowh9pupnnnew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банковских вкладов (депозитов)";</w:t>
      </w:r>
    </w:p>
    <w:p>
      <w:pPr>
        <w:spacing w:after="60"/>
        <w:ind w:firstLine="567"/>
        <w:jc w:val="both"/>
      </w:pPr>
      <w:r>
        <w:rPr>
          <w:rFonts w:ascii="Arial" w:cs="Arial" w:eastAsia="Arial" w:hAnsi="Arial"/>
          <w:sz w:val="24"/>
          <w:szCs w:val="24"/>
        </w:rPr>
        <w:t xml:space="preserve">6) при невыполнении своих должностных полномочий и осуществлении действий, ущемляющих интересы Агентства, по рекомендации большинства членов Совета директоров лицу, назначившему исполнительного директора и его заместителей.</w:t>
      </w:r>
    </w:p>
    <w:p>
      <w:pPr>
        <w:spacing w:after="60"/>
        <w:ind w:firstLine="567"/>
        <w:jc w:val="both"/>
      </w:pPr>
      <w:r>
        <w:rPr>
          <w:rFonts w:ascii="Arial" w:cs="Arial" w:eastAsia="Arial" w:hAnsi="Arial"/>
          <w:sz w:val="24"/>
          <w:szCs w:val="24"/>
        </w:rPr>
        <w:t xml:space="preserve">При отсутствии исполнительного директора Агентства его обязанности исполняет заместитель.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ret_htjqwxhxipcwucdu">
        <w:r>
          <w:rPr>
            <w:rFonts w:ascii="Arial" w:cs="Arial" w:eastAsia="Arial" w:hAnsi="Arial"/>
            <w:i/>
            <w:iCs/>
            <w:color w:val="1D4ED8"/>
            <w:sz w:val="24"/>
            <w:szCs w:val="24"/>
            <w:u w:val="single"/>
          </w:rPr>
          <w:t xml:space="preserve">3 декабря 2015 года № 826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Организация деятельности Агентства</w:t>
      </w:r>
    </w:p>
    <w:p>
      <w:pPr>
        <w:spacing w:after="60"/>
        <w:ind w:firstLine="567"/>
        <w:jc w:val="both"/>
      </w:pPr>
      <w:r>
        <w:rPr>
          <w:rFonts w:ascii="Arial" w:cs="Arial" w:eastAsia="Arial" w:hAnsi="Arial"/>
          <w:sz w:val="24"/>
          <w:szCs w:val="24"/>
        </w:rPr>
        <w:t xml:space="preserve">23. Операционные расходы Агентства и прочие затраты, связанные с выполнением задач, возложенных на Агентство, на каждый финансовый год, покрываются за счет:</w:t>
      </w:r>
    </w:p>
    <w:p>
      <w:pPr>
        <w:spacing w:after="60"/>
        <w:ind w:firstLine="567"/>
        <w:jc w:val="both"/>
      </w:pPr>
      <w:r>
        <w:rPr>
          <w:rFonts w:ascii="Arial" w:cs="Arial" w:eastAsia="Arial" w:hAnsi="Arial"/>
          <w:sz w:val="24"/>
          <w:szCs w:val="24"/>
        </w:rPr>
        <w:t xml:space="preserve">- 2 процентов в год от значения совокупностей накопленных средств в Фонде и средств, подлежащих возврату в Фонд защиты депозитов после выплаты компенсаций вкладчикам на начало года;</w:t>
      </w:r>
    </w:p>
    <w:p>
      <w:pPr>
        <w:spacing w:after="60"/>
        <w:ind w:firstLine="567"/>
        <w:jc w:val="both"/>
      </w:pPr>
      <w:r>
        <w:rPr>
          <w:rFonts w:ascii="Arial" w:cs="Arial" w:eastAsia="Arial" w:hAnsi="Arial"/>
          <w:sz w:val="24"/>
          <w:szCs w:val="24"/>
        </w:rPr>
        <w:t xml:space="preserve">- 25 процентов от доходов, полученных от размещения свободных средств Фонда;</w:t>
      </w:r>
    </w:p>
    <w:p>
      <w:pPr>
        <w:spacing w:after="60"/>
        <w:ind w:firstLine="567"/>
        <w:jc w:val="both"/>
      </w:pPr>
      <w:r>
        <w:rPr>
          <w:rFonts w:ascii="Arial" w:cs="Arial" w:eastAsia="Arial" w:hAnsi="Arial"/>
          <w:sz w:val="24"/>
          <w:szCs w:val="24"/>
        </w:rPr>
        <w:t xml:space="preserve">- иных средств,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24. Агентство ведет постоянный учет и отчетность в соответствии с международными стандартами финансовой отчетности и в соответствующей форме и периодичностью публикует в средствах массовой информации и представляет по первому требованию любого лица.</w:t>
      </w:r>
    </w:p>
    <w:p>
      <w:pPr>
        <w:spacing w:after="60"/>
        <w:ind w:firstLine="567"/>
        <w:jc w:val="both"/>
      </w:pPr>
      <w:r>
        <w:rPr>
          <w:rFonts w:ascii="Arial" w:cs="Arial" w:eastAsia="Arial" w:hAnsi="Arial"/>
          <w:sz w:val="24"/>
          <w:szCs w:val="24"/>
        </w:rPr>
        <w:t xml:space="preserve">25. Внутренний контроль за финансово-хозяйственной деятельностью Агентства осуществляется службой внутреннего аудита Агентства.</w:t>
      </w:r>
    </w:p>
    <w:p>
      <w:pPr>
        <w:spacing w:after="60"/>
        <w:ind w:firstLine="567"/>
        <w:jc w:val="both"/>
      </w:pPr>
      <w:r>
        <w:rPr>
          <w:rFonts w:ascii="Arial" w:cs="Arial" w:eastAsia="Arial" w:hAnsi="Arial"/>
          <w:sz w:val="24"/>
          <w:szCs w:val="24"/>
        </w:rPr>
        <w:t xml:space="preserve">26. Годовой отчет Агентства утверждается Советом директоров.</w:t>
      </w:r>
    </w:p>
    <w:p>
      <w:pPr>
        <w:spacing w:after="60"/>
        <w:ind w:firstLine="567"/>
        <w:jc w:val="both"/>
      </w:pPr>
      <w:r>
        <w:rPr>
          <w:rFonts w:ascii="Arial" w:cs="Arial" w:eastAsia="Arial" w:hAnsi="Arial"/>
          <w:sz w:val="24"/>
          <w:szCs w:val="24"/>
        </w:rPr>
        <w:t xml:space="preserve">27. Для проведения внешнего аудита Агентства Совет директоров Агентства в срок не позднее 6 месяцев до окончания финансового года на тендерной основе определяет независимую аудиторскую организацию.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6dun0j1_mjqyrsvqfiyr">
      <w:r>
        <w:rPr>
          <w:rFonts w:ascii="Arial" w:cs="Arial" w:eastAsia="Arial" w:hAnsi="Arial"/>
          <w:color w:val="132D3F"/>
          <w:sz w:val="16"/>
          <w:szCs w:val="16"/>
          <w:u w:val="single"/>
        </w:rPr>
        <w:t xml:space="preserve">dalil.kg/document/157327</w:t>
      </w:r>
    </w:hyperlink>
  </w:p>
  <w:p>
    <w:pPr>
      <w:spacing w:after="0" w:before="40"/>
      <w:jc w:val="center"/>
    </w:pPr>
    <w:hyperlink w:history="1" r:id="rIdlknmq5zfidh3bfcosmnc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5xkra0fgzrvlfoxm0pkm" Type="http://schemas.openxmlformats.org/officeDocument/2006/relationships/hyperlink" Target="https://dalil.kg/document/230003404" TargetMode="External"/><Relationship Id="rIdrjt4h2qdv4gdzrrqozrfy" Type="http://schemas.openxmlformats.org/officeDocument/2006/relationships/hyperlink" Target="https://dalil.kg/document/95272" TargetMode="External"/><Relationship Id="rId8neaweaqjted6kgwalhwy" Type="http://schemas.openxmlformats.org/officeDocument/2006/relationships/hyperlink" Target="https://dalil.kg/document/98368" TargetMode="External"/><Relationship Id="rIdlbrubc48mhcbsbkxsthq7" Type="http://schemas.openxmlformats.org/officeDocument/2006/relationships/hyperlink" Target="https://dalil.kg/document/100168" TargetMode="External"/><Relationship Id="rId5r4jlhk213klr-t1pq_dj" Type="http://schemas.openxmlformats.org/officeDocument/2006/relationships/hyperlink" Target="https://dalil.kg/document/157326" TargetMode="External"/><Relationship Id="rIddz9vwuroj8znb5cgnxflv" Type="http://schemas.openxmlformats.org/officeDocument/2006/relationships/hyperlink" Target="https://dalil.kg/document/202289" TargetMode="External"/><Relationship Id="rId5mslphtvkwipnf6_uiqip" Type="http://schemas.openxmlformats.org/officeDocument/2006/relationships/hyperlink" Target="https://dalil.kg/document/157326" TargetMode="External"/><Relationship Id="rId3bnjucohhvqkoh-i4k6ud" Type="http://schemas.openxmlformats.org/officeDocument/2006/relationships/hyperlink" Target="https://dalil.kg/document/157326" TargetMode="External"/><Relationship Id="rIdajuqtmp367bpsjvdhm0rx" Type="http://schemas.openxmlformats.org/officeDocument/2006/relationships/hyperlink" Target="https://dalil.kg/document/202913" TargetMode="External"/><Relationship Id="rIdpxw6qg-gmpt9k5b786l3c" Type="http://schemas.openxmlformats.org/officeDocument/2006/relationships/hyperlink" Target="https://dalil.kg/document/202289" TargetMode="External"/><Relationship Id="rIdtkvs4_ksdwojduxndrwlw" Type="http://schemas.openxmlformats.org/officeDocument/2006/relationships/hyperlink" Target="https://dalil.kg/document/157326" TargetMode="External"/><Relationship Id="rIdm3atc3d0adsfzluuyhsme" Type="http://schemas.openxmlformats.org/officeDocument/2006/relationships/hyperlink" Target="https://dalil.kg/document/157326" TargetMode="External"/><Relationship Id="rIdjllhx7rb995hfzwg931yj" Type="http://schemas.openxmlformats.org/officeDocument/2006/relationships/hyperlink" Target="https://dalil.kg/document/157326" TargetMode="External"/><Relationship Id="rIdy0edij7svznz-wzpdjx0d" Type="http://schemas.openxmlformats.org/officeDocument/2006/relationships/hyperlink" Target="https://dalil.kg/document/202289" TargetMode="External"/><Relationship Id="rIdvppuibwlwxnzzyaw12iks" Type="http://schemas.openxmlformats.org/officeDocument/2006/relationships/hyperlink" Target="https://dalil.kg/document/157326" TargetMode="External"/><Relationship Id="rIduu1hhzsynnkf2hta0p8q3" Type="http://schemas.openxmlformats.org/officeDocument/2006/relationships/hyperlink" Target="https://dalil.kg/document/202289" TargetMode="External"/><Relationship Id="rIdqqkfa0yv7wo7pn5fsivfu" Type="http://schemas.openxmlformats.org/officeDocument/2006/relationships/hyperlink" Target="https://dalil.kg/document/98368" TargetMode="External"/><Relationship Id="rId8btilkqrvhlaqswxm28v1" Type="http://schemas.openxmlformats.org/officeDocument/2006/relationships/hyperlink" Target="https://dalil.kg/document/157326" TargetMode="External"/><Relationship Id="rIdmvsngjdnb9lnpqwzr1_ys" Type="http://schemas.openxmlformats.org/officeDocument/2006/relationships/hyperlink" Target="https://dalil.kg/document/202289" TargetMode="External"/><Relationship Id="rIdp_2sqihqir_eo8wddpiml" Type="http://schemas.openxmlformats.org/officeDocument/2006/relationships/hyperlink" Target="https://dalil.kg/document/202289" TargetMode="External"/><Relationship Id="rIdih8oypm_etwvjfxke2mpy" Type="http://schemas.openxmlformats.org/officeDocument/2006/relationships/hyperlink" Target="https://dalil.kg/document/100168" TargetMode="External"/><Relationship Id="rId0ztabqlyhhjzg8iablzzl" Type="http://schemas.openxmlformats.org/officeDocument/2006/relationships/hyperlink" Target="https://dalil.kg/document/202289" TargetMode="External"/><Relationship Id="rIdzsyfo-e_3jwqnvygo7xdk" Type="http://schemas.openxmlformats.org/officeDocument/2006/relationships/hyperlink" Target="https://dalil.kg/document/98368" TargetMode="External"/><Relationship Id="rIdt7ij9w6erjf4pvb0q-xwk" Type="http://schemas.openxmlformats.org/officeDocument/2006/relationships/hyperlink" Target="https://dalil.kg/document/100168" TargetMode="External"/><Relationship Id="rId_coou1hb6gud4rqxli6fs" Type="http://schemas.openxmlformats.org/officeDocument/2006/relationships/hyperlink" Target="https://dalil.kg/document/157326" TargetMode="External"/><Relationship Id="rIdodnjhnitllr0wtorlbzjk" Type="http://schemas.openxmlformats.org/officeDocument/2006/relationships/hyperlink" Target="https://dalil.kg/document/202289" TargetMode="External"/><Relationship Id="rIdxtnrys9bfewrdhnz6k5on" Type="http://schemas.openxmlformats.org/officeDocument/2006/relationships/hyperlink" Target="https://dalil.kg/document/98368" TargetMode="External"/><Relationship Id="rId6wetg4rv1bvkzlfc9fjlw" Type="http://schemas.openxmlformats.org/officeDocument/2006/relationships/hyperlink" Target="https://dalil.kg/document/202289" TargetMode="External"/><Relationship Id="rIdbr3hg2lmtqx7wrdxgauga" Type="http://schemas.openxmlformats.org/officeDocument/2006/relationships/hyperlink" Target="https://dalil.kg/document/202289" TargetMode="External"/><Relationship Id="rIdkp-hv7e8vvzu7izb7lpzi" Type="http://schemas.openxmlformats.org/officeDocument/2006/relationships/hyperlink" Target="https://dalil.kg/document/98368" TargetMode="External"/><Relationship Id="rId3wqzhwh4izsvp_wbexe_m" Type="http://schemas.openxmlformats.org/officeDocument/2006/relationships/hyperlink" Target="https://dalil.kg/document/157326" TargetMode="External"/><Relationship Id="rIdxr9wafjdsjvgc0ggvb8wd" Type="http://schemas.openxmlformats.org/officeDocument/2006/relationships/hyperlink" Target="https://dalil.kg/document/157326" TargetMode="External"/><Relationship Id="rIdi0wrf3t76ym6oxwj0bibe" Type="http://schemas.openxmlformats.org/officeDocument/2006/relationships/hyperlink" Target="https://dalil.kg/document/98368" TargetMode="External"/><Relationship Id="rIdl1uc_9-94kz43qqm_sfyj" Type="http://schemas.openxmlformats.org/officeDocument/2006/relationships/hyperlink" Target="https://dalil.kg/document/157326" TargetMode="External"/><Relationship Id="rIdydsbp62ljbvknnipxgw9s" Type="http://schemas.openxmlformats.org/officeDocument/2006/relationships/hyperlink" Target="https://dalil.kg/document/157326" TargetMode="External"/><Relationship Id="rIdznpmbirbowh9pupnnnewi" Type="http://schemas.openxmlformats.org/officeDocument/2006/relationships/hyperlink" Target="https://dalil.kg/document/202289" TargetMode="External"/><Relationship Id="rIdyret_htjqwxhxipcwucdu" Type="http://schemas.openxmlformats.org/officeDocument/2006/relationships/hyperlink" Target="https://dalil.kg/document/98368"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6dun0j1_mjqyrsvqfiyr" Type="http://schemas.openxmlformats.org/officeDocument/2006/relationships/hyperlink" Target="https://dalil.kg/document/157327" TargetMode="External"/><Relationship Id="rIdlknmq5zfidh3bfcosmnc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2026-09-26T17:24:58.441Z</dcterms:created>
  <dcterms:modified xsi:type="dcterms:W3CDTF">2026-09-26T17:24:58.441Z</dcterms:modified>
</cp:coreProperties>
</file>

<file path=docProps/custom.xml><?xml version="1.0" encoding="utf-8"?>
<Properties xmlns="http://schemas.openxmlformats.org/officeDocument/2006/custom-properties" xmlns:vt="http://schemas.openxmlformats.org/officeDocument/2006/docPropsVTypes"/>
</file>