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qessdtpuxiymdewh7q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2025 года № 846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государственным центрам обработки данных и соединяющим их каналам связи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государственным центрам обработки данных и соединяющим их каналам связи (далее - Требования) разработаны в соответствии с </w:t>
      </w:r>
      <w:hyperlink w:history="1" r:id="rIdwi_ytobuc0kyrzdhje8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настоящих Требований обязательны для применения государственными органами, органами местного самоуправления, государственными и муниципальными предприятиями, учреждениями и организациями, финансируемыми из республиканского и местных бюджетов, являющимися владельцами и/или операторами государственных центров обработки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настоящих Требований не распространяются на государственные центры обработки данных, государственные информационные системы, содержащие в своих базах данных информацию, отнесенную к государственным секретам в соответствии с законодательством Кыргызской Республики о государственных секретах, на сети телекоммуникаций специального назначения и/или правительственной, засекреченной, шифрованной и кодированной связи, информационные системы, не входящие в состав государственной инфраструктуры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Требованиях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центр обработки данных (далее - ГЦОД)</w:t>
      </w:r>
      <w:r>
        <w:rPr>
          <w:rFonts w:ascii="Arial" w:cs="Arial" w:eastAsia="Arial" w:hAnsi="Arial"/>
          <w:sz w:val="24"/>
          <w:szCs w:val="24"/>
        </w:rPr>
        <w:t xml:space="preserve"> - это аппаратно-программный комплекс, подключенный к сети Интернет и размещенный в специализированном помещении, представляющий собой комплексную централизованную систему для размещения 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канал связи</w:t>
      </w:r>
      <w:r>
        <w:rPr>
          <w:rFonts w:ascii="Arial" w:cs="Arial" w:eastAsia="Arial" w:hAnsi="Arial"/>
          <w:sz w:val="24"/>
          <w:szCs w:val="24"/>
        </w:rPr>
        <w:t xml:space="preserve"> - комплекс средств телекоммуникации и среды распространения, обеспечивающий передачу сигнала от отправителя к получателю;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масштабируемость</w:t>
      </w:r>
      <w:r>
        <w:rPr>
          <w:rFonts w:ascii="Arial" w:cs="Arial" w:eastAsia="Arial" w:hAnsi="Arial"/>
          <w:sz w:val="24"/>
          <w:szCs w:val="24"/>
        </w:rPr>
        <w:t xml:space="preserve"> - способность элемента государственной инфраструктуры электронного управления к изменению его производительности по мере изменения объема обрабатываемой информации и (или) количества параллельных запросов пользователей, предусматривающая возможность добавления модулей к информационно-технической и инженерной инфраструктуре.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задачи, назначение ГЦОД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Цели ГЦОД: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гарантированной безотказной работы информационных систем государственного органа и органа местного самоуправления, государственных и муниципальных предприятий, учреждений и организаций с заданными уровнями доступности, надежности, безопасности и управляемости;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консолидации, хранения и обработки баз данных государственных органов, органов местного самоуправления, государственных и муниципальных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обмена данными между ГЦОД государственных органов, органов местного самоуправления, государственных и муниципальных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ГЦОД: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и хранение объема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целостности обрабатываемых и хранимых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безотказность элементов государственной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распределенных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заданной надежности бесперебойности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Параметры ГЦОД: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скорость обработки запросов (скорость не должна зависеть от объема хранилища данных);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параллельное обслуживание заданного числа пользователей без заметного для пользователей снижения производительности.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ГЦОД: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ГЦОД включает информационную, телекоммуникационную, инженерную инфраструктуру.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инфраструктура включает высоконадежное серверное оборудование и программное обеспечение, обеспечивающие основные функции ГЦОД - обработку и хранение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Телекоммуникационная инфраструктура обеспечивает взаимосвязь элементов ГЦОД, а также передачу данных между ГЦОД и пользователями.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Инженерная инфраструктура обеспечивает полноценное функционирование основных систем ГЦОД. Инженерная инфраструктура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для поддержания температуры и уровня влажности в заданных параметрах;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бесперебойного электроснабжения для автономной работы ГЦОД в случаях отключения центральных источников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охранно-пожарной сигнализации и систему газового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удаленного IP-контроля, управления питанием и контроля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Объекты, входящие в систему ГЦОД, должны отвечать следующим ключевым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резервирование и надежность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имущественной безопасности - все ключевые элементы инфраструктуры должны находиться в собственности, долгосрочной аренде или долгосрочном доверительном управлении владельца ГЦОД;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соответствия действующим нормативным документам в области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данные, передаваемые как внутри системы ГЦОД, так и в (из) нее, не должны выходить за пределы географических границ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резервирования каналов связи системы ГЦОД;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катастрофоустойчивость решений, используемых при создании системы ГЦОД;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 этапе проектирования норм технического регулирования и требований к ГЦОД, составу, компонентам и архитектурно-техническим решениям.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системы владельца ГЦОД, обеспечивающего управление этой системой, должны быть зарезервированы не менее чем в двух географически удаленных друг от друга ГЦОД в пределах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ГЦОД должны быть приближены к наиболее дешевым источникам электроэнергии большей мощности. ГЦОД необходимо размещать в непосредственной близости от мощных генерирующих станций, с возможностью прямого подключения к ним.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по защищенности и устойчивости ГЦОД и соединяющих их каналов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обеспечении кибербезопасности данных и организации каналов связи ГЦОД необходимо руководствоваться требованиями к организации кибербезопасности в государственном органе, органе местного самоуправления, организации, изложенными в Требованиях к защите информации, содержащейся в базах данных государственных информационных систем, утвержденных </w:t>
      </w:r>
      <w:hyperlink w:history="1" r:id="rIdgs7tdlx4ndjw2xvqv2y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необходимой защищенности и безопасности ГЦОД предполагает наличие защиты от следующих вероятных угроз: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основного или вспомогательного оборудования, или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воздействие компьютерных вирусов и других вредоносных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несанкционированный доступ, взлом, кражи;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сбои энергопитания;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пожара или задымления;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затопления, нарушения температурных режимов, эксплуатации, запыленность или загазованность;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сейсмостойкость здания или нарушения конструкций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воздействие электромагнитного или радиационного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Функциональная устойчивость ГЦОД обеспечивается предъявлением требований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отказоустойчивости;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гибкости, в том числе масштабируемости;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простоте и надежности инженерных и конструкторских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необходимого уровня отказоустойчивости должно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достаточную степень избыточности соответствующих критичных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ремонтопригодность аппаратных средств и возможность, в случае необходимости, перехода в автономный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резервных компонентов или процедур, обеспечивающих непрерывность работы при выходе из строя компонентов системы, ремонта или замены;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надежную систему резервного копирования и восстановления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гибкости достигается путем масштабируемости, т.е. возможности добавления модулей к информационной и инженерной инфраструктуре ГЦОД.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Простота инженерных и конструкторских решений ГЦОД упрощает систему мониторинга, управления, эксплуатации, обслуживания и технического сопровождения ГЦОД.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размещению ГЦОД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проектировании или при переоборудовании помещения ГЦОД необходимо руководствоваться требованиями к системам бесперебойного функционирования технических средств серверного оборудования и к серверному помещению государственного органа, органа местного самоуправления, организации, указанных в </w:t>
      </w:r>
      <w:r>
        <w:rPr>
          <w:rFonts w:ascii="Arial" w:cs="Arial" w:eastAsia="Arial" w:hAnsi="Arial"/>
          <w:sz w:val="24"/>
          <w:szCs w:val="24"/>
        </w:rPr>
        <w:t xml:space="preserve">Требованиях</w:t>
      </w:r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утвержденных </w:t>
      </w:r>
      <w:hyperlink w:history="1" r:id="rIdxbx_zbhxdp6akw1n8au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ГЦОД включаются в состав государственной инфраструктуры электронного управления в соответствии с </w:t>
      </w:r>
      <w:hyperlink w:history="1" r:id="rIdiynvxgcd0dulzm9s2ka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государственной инфраструктуры электронного управления, в том числе правилами включения элементов инфраструктуры в реестр и исключения их из реестра, утвержденными </w:t>
      </w:r>
      <w:hyperlink w:history="1" r:id="rIdrcjnluj7jhdc78iw2mo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2019 года № 661.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27twhxdmi_fwpew8f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dalil.kg/document/157382</w:t>
      </w:r>
    </w:hyperlink>
  </w:p>
  <w:p>
    <w:pPr>
      <w:spacing w:after="0" w:before="40"/>
      <w:jc w:val="center"/>
    </w:pPr>
    <w:hyperlink w:history="1" r:id="rIdyvk9z0eujjdz81ynogx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essdtpuxiymdewh7qv_" Type="http://schemas.openxmlformats.org/officeDocument/2006/relationships/hyperlink" Target="https://dalil.kg/document/230037969" TargetMode="External"/><Relationship Id="rIdwi_ytobuc0kyrzdhje8ju" Type="http://schemas.openxmlformats.org/officeDocument/2006/relationships/hyperlink" Target="https://dalil.kg/document/111634" TargetMode="External"/><Relationship Id="rIdgs7tdlx4ndjw2xvqv2y95" Type="http://schemas.openxmlformats.org/officeDocument/2006/relationships/hyperlink" Target="https://dalil.kg/document/11511" TargetMode="External"/><Relationship Id="rIdxbx_zbhxdp6akw1n8audt" Type="http://schemas.openxmlformats.org/officeDocument/2006/relationships/hyperlink" Target="https://dalil.kg/document/11511" TargetMode="External"/><Relationship Id="rIdiynvxgcd0dulzm9s2kais" Type="http://schemas.openxmlformats.org/officeDocument/2006/relationships/hyperlink" Target="https://dalil.kg/document/157320" TargetMode="External"/><Relationship Id="rIdrcjnluj7jhdc78iw2mo-n" Type="http://schemas.openxmlformats.org/officeDocument/2006/relationships/hyperlink" Target="https://dalil.kg/document/1573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27twhxdmi_fwpew8fng" Type="http://schemas.openxmlformats.org/officeDocument/2006/relationships/hyperlink" Target="https://dalil.kg/document/157382" TargetMode="External"/><Relationship Id="rIdyvk9z0eujjdz81ynogx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2026-09-27T05:23:00.308Z</dcterms:created>
  <dcterms:modified xsi:type="dcterms:W3CDTF">2026-09-27T05:23:00.308Z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