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установления содержания золота в рудах и концентратах, ведения учетного контроля при вывозе руд, концентратов и отходов, содержащих драгоценные металлы и сопутствующие извлекаемые металлы, в соответствии со </w:t>
      </w:r>
      <w:hyperlink w:history="1" r:id="rIdirxri1_glw4bhmpr-z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статьями </w:t>
      </w:r>
      <w:hyperlink w:history="1" r:id="rIdpjiyi5x1erhugwlc5t0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karaaxuitywhboa0d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mjndsoo2keychfjak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 следующее изменение:</w:t>
      </w:r>
    </w:p>
    <w:p>
      <w:pPr>
        <w:spacing w:after="120"/>
        <w:ind w:firstLine="397"/>
        <w:jc w:val="both"/>
      </w:pPr>
      <w:hyperlink w:history="1" r:id="rIdlolvvgafelq1pquvnca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утвержденный вышеуказанным </w:t>
      </w:r>
      <w:hyperlink w:history="1" r:id="rIdrxzv1caccnx_iwqmzon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e-9b5exeyfg9ozdzwsj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сайте Правительства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20 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 (далее - Порядок), определяет организацию проведения учетного контроля драгоценных металлов, цветных, черных металлов, а также руды и концентратов, отходов с содержанием драгоценных, цветных, черных металлов при экспорте с территории Кыргызской Республики, а также при вывозе на переработку на давальческих условиях, в том числе вне таможенной территории, и ввозе на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настоящего Порядка обязательны для исполнения участниками внешнеэкономической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вывозе сырьевых товаров, содержащих драгоценные металлы и сопутствующие извлекаемые металлы, с содержанием цветных и черных металлов;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вывозе руд, концентратов и отходов, содержащих драгоценные металлы, на переработку на давальческих условиях, в том числе, вне таможенной территории (толлинг);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ввозе драгоценных металлов, сырьевых товаров с содержанием драгоценных металлов.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Разрешительный порядок вывоза и ввоза драгоценных металлов в торговле с третьими странами осуществляется в соответствие с правовой базой Евразийского экономического союза (далее - ЕАЭС).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настоящего Порядка не распространяются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трансфертным ценообразованием (реэкспорт), осуществляемый в соответствии с законодательством Кыргызской Республики о трансфертном ценообразовании;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понятия, используемые в настоящем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государства-члены</w:t>
      </w:r>
      <w:r>
        <w:rPr>
          <w:rFonts w:ascii="Arial" w:cs="Arial" w:eastAsia="Arial" w:hAnsi="Arial"/>
          <w:sz w:val="24"/>
          <w:szCs w:val="24"/>
        </w:rPr>
        <w:t xml:space="preserve"> - государства, являющиеся членами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имеющее право собственности на руды, концентраты и отходы (техногенные образования), содержащие драгоценные металлы и сопутствующие извлекаемые металлы, намеревающееся осуществить их ввоз/вывоз на/с территорию/и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инспекционная компания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филиал или представительство, зарегистрированное на территории Кыргызской Республики, являющееся членом Международной федерации инспекторских агентств, аккредитованное по требованиям стандартов ISO/</w:t>
      </w:r>
      <w:r>
        <w:rPr>
          <w:rFonts w:ascii="Arial" w:cs="Arial" w:eastAsia="Arial" w:hAnsi="Arial"/>
          <w:sz w:val="24"/>
          <w:szCs w:val="24"/>
        </w:rPr>
        <w:t xml:space="preserve">IEC</w:t>
      </w:r>
      <w:r>
        <w:rPr>
          <w:rFonts w:ascii="Arial" w:cs="Arial" w:eastAsia="Arial" w:hAnsi="Arial"/>
          <w:sz w:val="24"/>
          <w:szCs w:val="24"/>
        </w:rPr>
        <w:t xml:space="preserve"> 17025 и ISO/</w:t>
      </w:r>
      <w:r>
        <w:rPr>
          <w:rFonts w:ascii="Arial" w:cs="Arial" w:eastAsia="Arial" w:hAnsi="Arial"/>
          <w:sz w:val="24"/>
          <w:szCs w:val="24"/>
        </w:rPr>
        <w:t xml:space="preserve">IEC</w:t>
      </w:r>
      <w:r>
        <w:rPr>
          <w:rFonts w:ascii="Arial" w:cs="Arial" w:eastAsia="Arial" w:hAnsi="Arial"/>
          <w:sz w:val="24"/>
          <w:szCs w:val="24"/>
        </w:rPr>
        <w:t xml:space="preserve"> 17020, занимающееся проведением отбора образцов сырьевых товаров, содержащих драгоценные металлы и сопутствующие извлекаемые металлы, и испытанием отобранных образцов, в соответствии с требованиями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концентрат</w:t>
      </w:r>
      <w:r>
        <w:rPr>
          <w:rFonts w:ascii="Arial" w:cs="Arial" w:eastAsia="Arial" w:hAnsi="Arial"/>
          <w:sz w:val="24"/>
          <w:szCs w:val="24"/>
        </w:rPr>
        <w:t xml:space="preserve"> - продукт обогащения полезных ископаемых с повышенным содержанием полезных ископаемых и пониженным содержанием вредных компонентов по сравнению с исходной рудой. При наличии в концентрате промышленного содержания золота - золотосодержащий концентрат;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лицензиар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руда</w:t>
      </w:r>
      <w:r>
        <w:rPr>
          <w:rFonts w:ascii="Arial" w:cs="Arial" w:eastAsia="Arial" w:hAnsi="Arial"/>
          <w:sz w:val="24"/>
          <w:szCs w:val="24"/>
        </w:rPr>
        <w:t xml:space="preserve"> - природное минеральное образование с таким содержанием металлов или полезных минералов, которое обеспечивает экономическую целесообразность их извлечения;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сопутствующие извлекаемые металлы</w:t>
      </w:r>
      <w:r>
        <w:rPr>
          <w:rFonts w:ascii="Arial" w:cs="Arial" w:eastAsia="Arial" w:hAnsi="Arial"/>
          <w:sz w:val="24"/>
          <w:szCs w:val="24"/>
        </w:rPr>
        <w:t xml:space="preserve"> - извлекаемые полезные металлы, находящиеся комплексно в руде, в концентрате и в отходе с драгоценными металлами в пониженных количествах;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сырьевые товары</w:t>
      </w:r>
      <w:r>
        <w:rPr>
          <w:rFonts w:ascii="Arial" w:cs="Arial" w:eastAsia="Arial" w:hAnsi="Arial"/>
          <w:sz w:val="24"/>
          <w:szCs w:val="24"/>
        </w:rPr>
        <w:t xml:space="preserve"> - товары, содержащие драгоценные металлы в рудах, концентратах и отходах (техногенные образования) и сопутствующие извлекаемые металлы;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третьи страны</w:t>
      </w:r>
      <w:r>
        <w:rPr>
          <w:rFonts w:ascii="Arial" w:cs="Arial" w:eastAsia="Arial" w:hAnsi="Arial"/>
          <w:sz w:val="24"/>
          <w:szCs w:val="24"/>
        </w:rPr>
        <w:t xml:space="preserve"> - государства, не являющиеся членами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недропользованию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реализации государственной политики в сфере недропользования;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учету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регулированию вопросов, связанных с операциями с драгоценными металлами и драгоценными камнями на территории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вывоза сырьевых товаров с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вывоза сырьевых товаров с территории Кыргызской Республики заявитель проходит процедуру учетного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Учетный контроль включает в себя прохождение следующих процессов: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классификация - установление содержания и количества драгоценных металлов и сопутствующих извлекаемых металлов в рудах, концентратах и отходах (техногенные образования), включающая инспекцию отбора представительных проб (образцов) сырьевых товаров и процедуру испытаний представительных проб (образцов);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- учет количества драгоценных металлов и сопутствующих извлекаемых металлов при совершении операций с рудами, концентратами и отходами (техногенные образования).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прохождения процесса классификации заявитель обращается в инспекционную компанию.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привлечение аффилированной с заявителем инспекционной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Процесс классификации проводится на каждую партию вывозимых сырьевых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прохождении процесса классификации инспекционной компанией проводится отбор представительных проб (образцов) в присутствии и под контролем заявителя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 по отбору представительных проб (образцов) вывозимой партии сырьевого товара (далее - Акт по отбору) составляется инспекционной компанией при участии заявителя в четырех экземплярах. Три экземпляра Акта по отбору передаются заявителю для представления в уполномоченный орган по учету драгоценных металлов, в уполномоченный орган по недропользованию и лицензиар - для получения соответствующей лицензии (в случае вывоза сырьевых товаров в третьи страны). Один экземпляр остается в инспекционной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отбора представительная проба сокращается и делится на пять экземпляров образцов, которые опечатываются пломбой инспекционной компании, а при необходимости - дополнительно пломбируются заявителем. Два экземпляра образцов предназначены инспекционной компании для проведения испытаний, два экземпляра образцов - заявителю, один экземпляр образца - в Центральную лабораторию Государственного комитета промышленности, энергетики и недропользования Кыргызской Республики для контрольного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приравнивается к сроку исковой давности по налоговому обязательству, в соответствии с налоговым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Инспекционная компания проводит испытания экземпляров отобранных образцов в сроки, не превышающие 15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Инспекционная компания аккредитована по требованиям стандарта ISO/</w:t>
      </w:r>
      <w:r>
        <w:rPr>
          <w:rFonts w:ascii="Arial" w:cs="Arial" w:eastAsia="Arial" w:hAnsi="Arial"/>
          <w:sz w:val="24"/>
          <w:szCs w:val="24"/>
        </w:rPr>
        <w:t xml:space="preserve">IEC</w:t>
      </w:r>
      <w:r>
        <w:rPr>
          <w:rFonts w:ascii="Arial" w:cs="Arial" w:eastAsia="Arial" w:hAnsi="Arial"/>
          <w:sz w:val="24"/>
          <w:szCs w:val="24"/>
        </w:rPr>
        <w:t xml:space="preserve"> 17020 и проводит испытания экземпляров отобранных образцов в собственной лаборатории, аккредитованной по стандарту ISO/IEC 17025. Испытания экземпляров отобранных образцов проводятся на каждый вид полезного компонента, указанного в лицензии на право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Инспекционная компания должна своими силами проводить инспекцию, которую она обязуется провести по контракту. В случае, если инспекционная компания заключает договор с субподрядчиком на проведение какой-либо части инспекции, она должна гарантировать и при необходимости продемонстрировать, что ее субподрядчик компетентен в осуществлении деятельности в данном вопросе, и в соответствующих случаях удовлетворяет необходимым требованиям, установленным международным стандартом или других соответствующих стандартов по оценке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1 - Основания заключения договора субподряда могут включать: непредвиденные и ненормированные нагрузки; ведущие сотрудники штата нетрудоспособны; основные технические средства или объекты оборудования временно непригодны для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2 - В случаях, если инспекционная компания нанимает отдельных лиц или сотрудников других организаций для предоставления дополнительных ресурсов или опыта, такие лица не рассматриваются в качестве субподрядчиков, при условии, что их работа официально обусловлена договором согласно системе менеджмента инспекционной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Инспекционная компания должна информировать клиента о намерении заключить договор субподряда на проведение какой-либо части инспекции.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субподрядчики выполняют работу, которая является составной частью инспекции, ответственность за определение соответствия инспектируемого объекта требованиям несет инспекционная компания.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Инспекционная компания должна вести записи и сохранять данные анализа компетентности своих субподрядчиков и их соответствия требованиям международного стандарта или других соответствующих стандартов по оценке соответствия. Инспекционная компания должна вести реестр всех своих субподрядчиков.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итогам проведения испытаний инспекционной компанией составляется протокол испытаний в трех экземплярах, содержащий полные данные Акта по отбору и данные проведенных испытаний экземпляров отобранных образцов, с учетом требований стандарта ISO/IEC 17025. Все экземпляры протоколов передаются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налоговых выплат осуществляется на основании данных, отраженных в протоколе испытания инспекционной компании, в соответствии с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отбор образцов и результаты проводимых испытаний экземпляров отобранных образцов несет инспекционная компания.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информация об ответственности инспекционной компании за отбор образцов и результаты проводимых испытаний экземпляров отобранных образцов отражается в протоколе испытаний.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прохождения процесса учета, заявитель, за исключением случаев, предусмотренных пунктом 17 настоящего Порядка, представляет в уполномоченный орган по недропользованию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письмо-заявка, с указанием наименования сырьевого товара, его количества в единицах измерения;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с которого осуществлена добыча вывозимого сырьевого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инспекционной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прохождения процесса учета в случаях вывоза руды на давальческих условиях в страны ЕАЭС (с обратным ввозом в Кыргызскую Республику), заявитель представляет в уполномоченный орган по недропользованию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письмо-уведомление, с указанием наименования сырьевого товара, его количества в единицах измерения;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на котором осуществлена добыча вывозимого сырьевого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инспекционной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предусмотренных настоящим пунктом, представляется в уполномоченный орган по недропользованию не позднее 25 числа месяца, следующего за месяцем, в котором была вывезена руда на давальческих условиях (с обратным ввозом в Кыргызскую Республику).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рассмотрения документов, предусмотренных пунктом 16 настоящего Порядка, уполномоченный орган по недропользованию в течение 7 рабочих дней представляет заявителю: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вывоза сырьевых товаров с территории Кыргызской Республики в третьи страны - экспертное заключение, содержащее сведения о количестве сырьевого товара и содержащихся в нем драгоценных металлов, возможность/невозможность переработки данного сырьевого товара на территории Кыргызской Республики и их вывоза.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Экспертное заключение предоставляется лицензиару для выдачи лицензии, а также налоговому органу для расчета налоговых выплат в соответствии с налоговым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вывоза сырьевых товаров с территории Кыргызской Республики и дальнейшей их реализации в государства-члены ЕАЭС - экспертное заключение, содержащее сведения о количестве сырьевого товара и содержащихся в нем полезных ископаемых.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Экспертное заключение предоставляется налоговому органу для расчета налоговых выплат в соответствии с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представления заявителю заключения о допустимости переработки уполномоченный орган по недропользованию ежегодно, до 31 января следующего года устанавливает возможность/невозможность переработки сырьевых товаров путем направления запросов на предприятия, осуществляющие переработку сырьевых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прохождения процесса учета заявитель, за исключением случаев, предусмотренных пунктом 21 настоящего Порядка, представляет в уполномоченный орган по учету драгоценных металлов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письмо-заявка, с указанием наименования сырьевого товара, его количества в единицах измерения;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на котором осуществлена добыча вывозимого сырьевого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внешнеторгового контракта/договора;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инспекционной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данные по вывозу сырьевых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прохождения процесса учета в случаях вывоза руды на давальческих условиях в страны ЕАЭС (с обратным ввозом в Кыргызскую Республику), заявитель представляет в уполномоченный орган по учету драгоценных металлов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письмо-заявка, с указанием наименования сырьевого товара, его количества в единицах измерения;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с которого осуществлена добыча вывозимого сырьевого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внешнеторгового контракта/договора;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инспекционной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данные по вывозу сырьевых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предусмотренный настоящим пунктом предоставляется в уполномоченный орган по учету драгоценных металлов не позднее 25 числа месяца, следующего за месяцем, в котором была вывезена руда на давальческих условиях (с обратным ввозом в Кыргызскую Республику).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рассмотрения документов, предусмотренных пунктом 20 настоящего Порядка, уполномоченный орган по учету драгоценных металлов в случае вывоза сырьевых товаров для их реализации в государства-члены или третьи страны, в течение 7 рабочих дней предоставляет заявителю заключение экспертизы по учету драгоценных металлов, содержащихся в сырьевых товарах (далее - заключение экспертизы по учету).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Заключение экспертизы по учету содержит в себе информацию о характере сделки, правовых основаниях, количестве исходного сырья и содержащихся в нем драгоценных металлов, отчислениях в бюджет республики, а в случае вывоза сырьевых товаров для их реализации в третьи страны - данные об экономической целесообразности/нецелесообразности вывоза сырьевых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Заключение экспертизы по учету представляется заявителю для постановки на учет драгоценных металлов, а в случае вывоза сырьевых товаров в третьи страны - для представления лицензиару.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вывоза сырьевых товаров в третьи страны, после прохождения процедуры учетного контроля, заявитель обращается к лицензиару для прохождения процедуры лицензирования экспорта сырьевых товаров.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ввоза сырьевых товаров на территорию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ввоза сырьевых товаров на территорию Кыргызской Республики заявитель обязан встать на специальный учет юридических и индивидуальных предпринимателей, осуществляющих операции с драгоценными металлами, в уполномоченный орган по учету драгоценных металлов в соответствии с законодательством Кыргызской Республики о проведении операций с драгоценными металлами.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ввоза сырьевых товаров, в целях учета драгоценных металлов заявитель представляет в уполномоченный орган по учету драгоценных металлов отчет в соответствии с законодательством Кыргызской Республики о проведении операций с драгоценными металлами. При этом условие прохождения учетного контроля является необязательным.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Проведение дальнейших операций с ввезенными сырьевыми товарами на территорию Кыргызской Республики допускается при выполнении условий, предусмотренных пунктами 26 и 27 настоящего Порядка.".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qhianzusknlqlustn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dalil.kg/document/157425</w:t>
      </w:r>
    </w:hyperlink>
  </w:p>
  <w:p>
    <w:pPr>
      <w:spacing w:after="0" w:before="40"/>
      <w:jc w:val="center"/>
    </w:pPr>
    <w:hyperlink w:history="1" r:id="rIdsfdyfqcqadurgzlsyo-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xri1_glw4bhmpr-zxix" Type="http://schemas.openxmlformats.org/officeDocument/2006/relationships/hyperlink" Target="https://dalil.kg/document/111782#st_35" TargetMode="External"/><Relationship Id="rIdpjiyi5x1erhugwlc5t0g8" Type="http://schemas.openxmlformats.org/officeDocument/2006/relationships/hyperlink" Target="https://dalil.kg/document/203685#st_10" TargetMode="External"/><Relationship Id="rIdckaraaxuitywhboa0dcrh" Type="http://schemas.openxmlformats.org/officeDocument/2006/relationships/hyperlink" Target="https://dalil.kg/document/203685#st_17" TargetMode="External"/><Relationship Id="rIdymjndsoo2keychfjakdal" Type="http://schemas.openxmlformats.org/officeDocument/2006/relationships/hyperlink" Target="https://dalil.kg/document/98935" TargetMode="External"/><Relationship Id="rIdlolvvgafelq1pquvncakj" Type="http://schemas.openxmlformats.org/officeDocument/2006/relationships/hyperlink" Target="https://dalil.kg/document/11663" TargetMode="External"/><Relationship Id="rIdrxzv1caccnx_iwqmzonm1" Type="http://schemas.openxmlformats.org/officeDocument/2006/relationships/hyperlink" Target="https://dalil.kg/document/98935" TargetMode="External"/><Relationship Id="rIde-9b5exeyfg9ozdzwsjwf" Type="http://schemas.openxmlformats.org/officeDocument/2006/relationships/hyperlink" Target="https://dalil.kg/document/157425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qhianzusknlqlustne5" Type="http://schemas.openxmlformats.org/officeDocument/2006/relationships/hyperlink" Target="https://dalil.kg/document/157425" TargetMode="External"/><Relationship Id="rIdsfdyfqcqadurgzlsyo-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2026-09-23T22:50:30.968Z</dcterms:created>
  <dcterms:modified xsi:type="dcterms:W3CDTF">2026-09-23T22:50:30.968Z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