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both"/>
      </w:pPr>
      <w:r>
        <w:rPr>
          <w:rFonts w:ascii="Arial" w:cs="Arial" w:eastAsia="Arial" w:hAnsi="Arial"/>
          <w:sz w:val="24"/>
          <w:szCs w:val="24"/>
        </w:rPr>
        <w:t xml:space="preserve">от 27 января 2020 года № 32</w:t>
      </w:r>
    </w:p>
    <w:p>
      <w:pPr>
        <w:spacing w:after="480" w:before="200"/>
        <w:jc w:val="center"/>
      </w:pPr>
      <w:r>
        <w:rPr>
          <w:rFonts w:ascii="Arial" w:cs="Arial" w:eastAsia="Arial" w:hAnsi="Arial"/>
          <w:b/>
          <w:bCs/>
          <w:sz w:val="28"/>
          <w:szCs w:val="28"/>
        </w:rPr>
        <w:t xml:space="preserve">О заключении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сфере избирательного законодательства (в Кодекс Кыргызской Республики о нарушениях, в Кодекс Кыргызской Республики о проступках, в Уголовный кодекс Кыргызской Республики, в Административно-процессуальный кодекс Кыргызской Республики)"</w:t>
      </w:r>
    </w:p>
    <w:p>
      <w:pPr>
        <w:spacing w:after="120"/>
        <w:ind w:firstLine="397"/>
        <w:jc w:val="both"/>
      </w:pPr>
      <w:r>
        <w:rPr>
          <w:rFonts w:ascii="Arial" w:cs="Arial" w:eastAsia="Arial" w:hAnsi="Arial"/>
          <w:sz w:val="24"/>
          <w:szCs w:val="24"/>
        </w:rPr>
        <w:t xml:space="preserve">В соответствии со </w:t>
      </w:r>
      <w:hyperlink w:history="1" r:id="rIda7htizuwxfjwxy0arrea8">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Одобрить прилагаемое </w:t>
      </w:r>
      <w:hyperlink w:history="1" r:id="rIdjvjuyinkiorhratloms11">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сфере избирательного законодательства (в </w:t>
      </w:r>
      <w:hyperlink w:history="1" r:id="rIdmahqghjc3czeb90bxyccv">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нарушениях, в </w:t>
      </w:r>
      <w:hyperlink w:history="1" r:id="rIdh1obgttdi-s7olxii4zvs">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проступках, в Уголовный </w:t>
      </w:r>
      <w:hyperlink w:history="1" r:id="rIdikst8ph4cesyc-ca40gok">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 Административно-процессуальный </w:t>
      </w:r>
      <w:hyperlink w:history="1" r:id="rIddfgtk0fak6ikvy9dicl-t">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инициированный депутатами Жогорку Кенеша Кыргызской Республики Исмаиловой А.Ж., Касымалиевой А.К., Строковой Е.Г., Рыспаевым К.Дж., Омуркуловым И.Ш., Баатырбековым А.Б., Примовым У.Б., Мамытовым Т.Т., Кыдыралиевым У.Т., Райымкуловым Б.К., Алтынбековым А. и Джураевым С.М.</w:t>
      </w:r>
    </w:p>
    <w:p>
      <w:pPr>
        <w:spacing w:after="120"/>
        <w:ind w:firstLine="397"/>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М.Д. Абылгазиев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Одобрено</w:t>
      </w:r>
      <w:r>
        <w:rPr>
          <w:rFonts w:ascii="Arial" w:cs="Arial" w:eastAsia="Arial" w:hAnsi="Arial"/>
          <w:sz w:val="24"/>
          <w:szCs w:val="24"/>
        </w:rPr>
        <w:t xml:space="preserve">
 постановлением Правительства Кыргызской Республики
 от 27 января 2020 года № 32</w:t>
      </w:r>
    </w:p>
    <w:p>
      <w:pPr>
        <w:spacing w:after="120"/>
        <w:ind w:firstLine="397"/>
        <w:jc w:val="center"/>
      </w:pPr>
      <w:r>
        <w:rPr>
          <w:rFonts w:ascii="Arial" w:cs="Arial" w:eastAsia="Arial" w:hAnsi="Arial"/>
          <w:b/>
          <w:bCs/>
          <w:sz w:val="24"/>
          <w:szCs w:val="24"/>
        </w:rPr>
        <w:t xml:space="preserve">ЗАКЛЮЧЕНИЕ</w:t>
      </w:r>
      <w:r>
        <w:rPr>
          <w:rFonts w:ascii="Arial" w:cs="Arial" w:eastAsia="Arial" w:hAnsi="Arial"/>
          <w:b/>
          <w:bCs/>
          <w:sz w:val="24"/>
          <w:szCs w:val="24"/>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сфере избирательного законодательства (в Кодекс Кыргызской Республики о нарушениях, в Кодекс Кыргызской Республики о проступках, в Уголовный кодекс Кыргызской Республики, в Административно-процессуальный кодекс Кыргызской Республики)"</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Правительство Кыргызской Республики в соответствии со </w:t>
      </w:r>
      <w:hyperlink w:history="1" r:id="rId6uujmbinwzroi9f1to8vn">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рассмотрев проект Закона Кыргызской Республики "О внесении изменений в некоторые законодательные акты Кыргызской Республики в сфере избирательного законодательства (в </w:t>
      </w:r>
      <w:hyperlink w:history="1" r:id="rIdd_ctg_3tb4yta0q2qsdxp">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нарушениях, в </w:t>
      </w:r>
      <w:hyperlink w:history="1" r:id="rIdtftsiqlcchq1yhis0mje1">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проступках, в Уголовный </w:t>
      </w:r>
      <w:hyperlink w:history="1" r:id="rId4k-oijq1y-kxuan1tbsao">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 Административно-процессуальный </w:t>
      </w:r>
      <w:hyperlink w:history="1" r:id="rIdruvpfwf13aqahcns_qy8j">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инициированный депутатами Жогорку Кенеша Кыргызской Республики Исмаиловой А.Ж., Касымалиевой А.К., Строковой Е.Г., Рыспаевым К.Дж., Омуркуловым И.Ш., Баатырбековым А.Б., Примовым У.Б., Мамытовым Т.Т., Кыдыралиевым У.Т., Райымкуловым Б.К., Алтынбековым А. и Джураевым С.М., приходит к следующему заключению.</w:t>
      </w:r>
    </w:p>
    <w:p>
      <w:pPr>
        <w:spacing w:after="120"/>
        <w:ind w:firstLine="397"/>
        <w:jc w:val="both"/>
      </w:pPr>
      <w:r>
        <w:rPr>
          <w:rFonts w:ascii="Arial" w:cs="Arial" w:eastAsia="Arial" w:hAnsi="Arial"/>
          <w:sz w:val="24"/>
          <w:szCs w:val="24"/>
        </w:rPr>
        <w:t xml:space="preserve">1. Частью 1 статьи 1 законопроекта предлагается </w:t>
      </w:r>
      <w:hyperlink w:history="1" r:id="rIdgjpcwa4kxfipgcq_twzqm">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нарушениях дополнить статьей 42-1, согласно которой непредставление физическими и юридическими лицами в избирательную комиссию в установленные законодательством сроки сведений или материалов, а равно невыполнение решений и требований комиссии, принятых в пределах ее полномочий, необходимых для подготовки и проведения выборов, влечет ответственность.</w:t>
      </w:r>
    </w:p>
    <w:p>
      <w:pPr>
        <w:spacing w:after="120"/>
        <w:ind w:firstLine="397"/>
        <w:jc w:val="both"/>
      </w:pPr>
      <w:r>
        <w:rPr>
          <w:rFonts w:ascii="Arial" w:cs="Arial" w:eastAsia="Arial" w:hAnsi="Arial"/>
          <w:sz w:val="24"/>
          <w:szCs w:val="24"/>
        </w:rPr>
        <w:t xml:space="preserve">Так, понятие "законодательство" является обобщенным понятием, носит расплывчатый характер и предоставляет возможность широкой трактовки. В соответствии со статьей 2 </w:t>
      </w:r>
      <w:hyperlink w:history="1" r:id="rIdwn5rkzf4w2__cb7mt3v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под законодательством понимается совокупность нормативных правовых актов, регулирующих общественные отношения, под нормативным правовым актом - официальный документ установленной формы, принятый в пределах компетенции уполномоченного государственного органа, органа местного самоуправления или путем референдума, направленный на установление, изменение или отмену норм права.</w:t>
      </w:r>
    </w:p>
    <w:p>
      <w:pPr>
        <w:spacing w:after="120"/>
        <w:ind w:firstLine="397"/>
        <w:jc w:val="both"/>
      </w:pPr>
      <w:r>
        <w:rPr>
          <w:rFonts w:ascii="Arial" w:cs="Arial" w:eastAsia="Arial" w:hAnsi="Arial"/>
          <w:sz w:val="24"/>
          <w:szCs w:val="24"/>
        </w:rPr>
        <w:t xml:space="preserve">В связи с чем полагаем необходимым проанализировать нормативные правовые акты, на которые идет ссылка в проекте, и указать на их отрасль или сферу регулирования.</w:t>
      </w:r>
    </w:p>
    <w:p>
      <w:pPr>
        <w:spacing w:after="120"/>
        <w:ind w:firstLine="397"/>
        <w:jc w:val="both"/>
      </w:pPr>
      <w:r>
        <w:rPr>
          <w:rFonts w:ascii="Arial" w:cs="Arial" w:eastAsia="Arial" w:hAnsi="Arial"/>
          <w:sz w:val="24"/>
          <w:szCs w:val="24"/>
        </w:rPr>
        <w:t xml:space="preserve">Кроме того, в соответствии с пунктом 78 </w:t>
      </w:r>
      <w:hyperlink w:history="1" r:id="rIdwryyynnufx75mu-cb4hfl">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законодательной технике, утвержденной </w:t>
      </w:r>
      <w:hyperlink w:history="1" r:id="rId0xayfjuvglbmtnukgsxr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 не допускаются бланкетные ссылки на законодательство в целом.</w:t>
      </w:r>
    </w:p>
    <w:p>
      <w:pPr>
        <w:spacing w:after="120"/>
        <w:ind w:firstLine="397"/>
        <w:jc w:val="both"/>
      </w:pPr>
      <w:r>
        <w:rPr>
          <w:rFonts w:ascii="Arial" w:cs="Arial" w:eastAsia="Arial" w:hAnsi="Arial"/>
          <w:sz w:val="24"/>
          <w:szCs w:val="24"/>
        </w:rPr>
        <w:t xml:space="preserve">Между тем, в соответствии с пунктом 77 вышеуказанной </w:t>
      </w:r>
      <w:hyperlink w:history="1" r:id="rIdwoc5hvb53jhp6ei9xmznk">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бланкетные предписания в законопроекте могут отсылать на отрасль законодательства, на вид законодательного акта, на сферу регулирования и на определенные правила.</w:t>
      </w:r>
    </w:p>
    <w:p>
      <w:pPr>
        <w:spacing w:after="120"/>
        <w:ind w:firstLine="397"/>
        <w:jc w:val="both"/>
      </w:pPr>
      <w:r>
        <w:rPr>
          <w:rFonts w:ascii="Arial" w:cs="Arial" w:eastAsia="Arial" w:hAnsi="Arial"/>
          <w:sz w:val="24"/>
          <w:szCs w:val="24"/>
        </w:rPr>
        <w:t xml:space="preserve">Принимая во внимание вышеизложенное, часть 1 статьи 1 законопроекта после слова "законодательством" предлагаем дополнить словами "о выборах".</w:t>
      </w:r>
    </w:p>
    <w:p>
      <w:pPr>
        <w:spacing w:after="120"/>
        <w:ind w:firstLine="397"/>
        <w:jc w:val="both"/>
      </w:pPr>
      <w:r>
        <w:rPr>
          <w:rFonts w:ascii="Arial" w:cs="Arial" w:eastAsia="Arial" w:hAnsi="Arial"/>
          <w:sz w:val="24"/>
          <w:szCs w:val="24"/>
        </w:rPr>
        <w:t xml:space="preserve">2. Частью 1 статьи 2 законопроекта предлагается </w:t>
      </w:r>
      <w:hyperlink w:history="1" r:id="rId14svdru_uackjirlm-68b">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проступках дополнить статьей 87-1, которая устанавливает ответственность за злоупотребление административным ресурсом в ходе подготовки и проведения выборов (референдума), в день голосования кандидатами, руководителями и учредителями государственных средств массовой информации и интернет-изданий, организаций с долей государственного (муниципального) участия более 30 процентов в целях избрания кандидата, списка кандидатов.</w:t>
      </w:r>
    </w:p>
    <w:p>
      <w:pPr>
        <w:spacing w:after="120"/>
        <w:ind w:firstLine="397"/>
        <w:jc w:val="both"/>
      </w:pPr>
      <w:r>
        <w:rPr>
          <w:rFonts w:ascii="Arial" w:cs="Arial" w:eastAsia="Arial" w:hAnsi="Arial"/>
          <w:sz w:val="24"/>
          <w:szCs w:val="24"/>
        </w:rPr>
        <w:t xml:space="preserve">За аналогичное деяние, совершенное руководителями государственных и муниципальных органов предлагается определить наказание в виде штрафа III категории, с отстранением от занимаемой должности и лишением права занимать определенные должности </w:t>
      </w:r>
      <w:r>
        <w:rPr>
          <w:rFonts w:ascii="Arial" w:cs="Arial" w:eastAsia="Arial" w:hAnsi="Arial"/>
          <w:sz w:val="24"/>
          <w:szCs w:val="24"/>
        </w:rPr>
        <w:t xml:space="preserve">II</w:t>
      </w:r>
      <w:r>
        <w:rPr>
          <w:rFonts w:ascii="Arial" w:cs="Arial" w:eastAsia="Arial" w:hAnsi="Arial"/>
          <w:sz w:val="24"/>
          <w:szCs w:val="24"/>
        </w:rPr>
        <w:t xml:space="preserve"> категории. При этом, обращаем внимание, что в соответствии со статьей 49 </w:t>
      </w:r>
      <w:hyperlink w:history="1" r:id="rIdtcjsksucl2phrmwa5qth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проступках штраф в качестве основного вида наказания по размеру делится на две категории.</w:t>
      </w:r>
    </w:p>
    <w:p>
      <w:pPr>
        <w:spacing w:after="120"/>
        <w:ind w:firstLine="397"/>
        <w:jc w:val="both"/>
      </w:pPr>
      <w:r>
        <w:rPr>
          <w:rFonts w:ascii="Arial" w:cs="Arial" w:eastAsia="Arial" w:hAnsi="Arial"/>
          <w:sz w:val="24"/>
          <w:szCs w:val="24"/>
        </w:rPr>
        <w:t xml:space="preserve">В этой связи в части 2 предлагаемой редакции статьи 87</w:t>
      </w:r>
      <w:r>
        <w:rPr>
          <w:rFonts w:ascii="Arial" w:cs="Arial" w:eastAsia="Arial" w:hAnsi="Arial"/>
          <w:sz w:val="24"/>
          <w:szCs w:val="24"/>
        </w:rPr>
        <w:t xml:space="preserve">1</w:t>
      </w:r>
      <w:r>
        <w:rPr>
          <w:rFonts w:ascii="Arial" w:cs="Arial" w:eastAsia="Arial" w:hAnsi="Arial"/>
          <w:sz w:val="24"/>
          <w:szCs w:val="24"/>
        </w:rPr>
        <w:t xml:space="preserve"> считаем целесообразным цифру "III" заменить цифрой "II".</w:t>
      </w:r>
    </w:p>
    <w:p>
      <w:pPr>
        <w:spacing w:after="120"/>
        <w:ind w:firstLine="397"/>
        <w:jc w:val="both"/>
      </w:pPr>
      <w:r>
        <w:rPr>
          <w:rFonts w:ascii="Arial" w:cs="Arial" w:eastAsia="Arial" w:hAnsi="Arial"/>
          <w:sz w:val="24"/>
          <w:szCs w:val="24"/>
        </w:rPr>
        <w:t xml:space="preserve">Необходимо определить, с какого периода считается начатой/завершенной подготовка к выборам (референдуму).</w:t>
      </w:r>
    </w:p>
    <w:p>
      <w:pPr>
        <w:spacing w:after="120"/>
        <w:ind w:firstLine="397"/>
        <w:jc w:val="both"/>
      </w:pPr>
      <w:r>
        <w:rPr>
          <w:rFonts w:ascii="Arial" w:cs="Arial" w:eastAsia="Arial" w:hAnsi="Arial"/>
          <w:sz w:val="24"/>
          <w:szCs w:val="24"/>
        </w:rPr>
        <w:t xml:space="preserve">Также, в порядке информации отмечаем, что согласно </w:t>
      </w:r>
      <w:hyperlink w:history="1" r:id="rIducfzkybptsvkmxk8b7lb2">
        <w:r>
          <w:rPr>
            <w:rFonts w:ascii="Arial" w:cs="Arial" w:eastAsia="Arial" w:hAnsi="Arial"/>
            <w:color w:val="1D4ED8"/>
            <w:sz w:val="24"/>
            <w:szCs w:val="24"/>
            <w:u w:val="single"/>
          </w:rPr>
          <w:t xml:space="preserve">статье 5</w:t>
        </w:r>
      </w:hyperlink>
      <w:r>
        <w:rPr>
          <w:rFonts w:ascii="Arial" w:cs="Arial" w:eastAsia="Arial" w:hAnsi="Arial"/>
          <w:sz w:val="24"/>
          <w:szCs w:val="24"/>
        </w:rPr>
        <w:t xml:space="preserve"> Закона Кыргызской Республики "О средствах массовой информации", учреждение государственными органами средства массовой информации совместно с юридическими лицами и гражданами не допускается, за исключением случаев,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3. Частью 2 статьи 2 законопроекта предлагается </w:t>
      </w:r>
      <w:hyperlink w:history="1" r:id="rIdq9t-cq38qtvqzsia7vsqa">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проступках дополнить статьей 87</w:t>
      </w:r>
      <w:r>
        <w:rPr>
          <w:rFonts w:ascii="Arial" w:cs="Arial" w:eastAsia="Arial" w:hAnsi="Arial"/>
          <w:sz w:val="24"/>
          <w:szCs w:val="24"/>
        </w:rPr>
        <w:t xml:space="preserve">2</w:t>
      </w:r>
      <w:r>
        <w:rPr>
          <w:rFonts w:ascii="Arial" w:cs="Arial" w:eastAsia="Arial" w:hAnsi="Arial"/>
          <w:sz w:val="24"/>
          <w:szCs w:val="24"/>
        </w:rPr>
        <w:t xml:space="preserve">, устанавливающей ответственность кандидата на выборную должность за представление заведомо недостоверных сведений.</w:t>
      </w:r>
    </w:p>
    <w:p>
      <w:pPr>
        <w:spacing w:after="120"/>
        <w:ind w:firstLine="397"/>
        <w:jc w:val="both"/>
      </w:pPr>
      <w:r>
        <w:rPr>
          <w:rFonts w:ascii="Arial" w:cs="Arial" w:eastAsia="Arial" w:hAnsi="Arial"/>
          <w:sz w:val="24"/>
          <w:szCs w:val="24"/>
        </w:rPr>
        <w:t xml:space="preserve">За аналогичное деяние, совершенное государственными и муниципальными служащими, предлагается определить наказание в виде штрафа II категории, с отстранением от занимаемой должности и лишением права занимать определенные должности II категории.</w:t>
      </w:r>
    </w:p>
    <w:p>
      <w:pPr>
        <w:spacing w:after="120"/>
        <w:ind w:firstLine="397"/>
        <w:jc w:val="both"/>
      </w:pPr>
      <w:r>
        <w:rPr>
          <w:rFonts w:ascii="Arial" w:cs="Arial" w:eastAsia="Arial" w:hAnsi="Arial"/>
          <w:sz w:val="24"/>
          <w:szCs w:val="24"/>
        </w:rPr>
        <w:t xml:space="preserve">Учитывая, что государственный или муниципальный служащий, являясь кандидатом в Президенты Кыргызской Республики, депутаты Жогорку Кенеша Кыргызской Республики, местного кенеша, на должность исполнительного органа местного самоуправления, не обладает особыми правами и полномочиями, считаем нецелесообразным ужесточение их ответственности.</w:t>
      </w:r>
    </w:p>
    <w:p>
      <w:pPr>
        <w:spacing w:after="120"/>
        <w:ind w:firstLine="397"/>
        <w:jc w:val="both"/>
      </w:pPr>
      <w:r>
        <w:rPr>
          <w:rFonts w:ascii="Arial" w:cs="Arial" w:eastAsia="Arial" w:hAnsi="Arial"/>
          <w:sz w:val="24"/>
          <w:szCs w:val="24"/>
        </w:rPr>
        <w:t xml:space="preserve">4. Частью 3 статьи 2 законопроекта предлагается </w:t>
      </w:r>
      <w:hyperlink w:history="1" r:id="rIddccltw1ctnr3fvcktsvdt">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проступках дополнить статьей 87</w:t>
      </w:r>
      <w:r>
        <w:rPr>
          <w:rFonts w:ascii="Arial" w:cs="Arial" w:eastAsia="Arial" w:hAnsi="Arial"/>
          <w:sz w:val="24"/>
          <w:szCs w:val="24"/>
        </w:rPr>
        <w:t xml:space="preserve">3</w:t>
      </w:r>
      <w:r>
        <w:rPr>
          <w:rFonts w:ascii="Arial" w:cs="Arial" w:eastAsia="Arial" w:hAnsi="Arial"/>
          <w:sz w:val="24"/>
          <w:szCs w:val="24"/>
        </w:rPr>
        <w:t xml:space="preserve">, устанавливающей ответственность избирателя за принятие денежных средств и материальных ценностей за реализацию избирательного права в ходе подготовки и проведения выборов либо в день голосования.</w:t>
      </w:r>
    </w:p>
    <w:p>
      <w:pPr>
        <w:spacing w:after="120"/>
        <w:ind w:firstLine="397"/>
        <w:jc w:val="both"/>
      </w:pPr>
      <w:r>
        <w:rPr>
          <w:rFonts w:ascii="Arial" w:cs="Arial" w:eastAsia="Arial" w:hAnsi="Arial"/>
          <w:sz w:val="24"/>
          <w:szCs w:val="24"/>
        </w:rPr>
        <w:t xml:space="preserve">Считаем необходимым отметить, что субъектом ответственности по предлагаемой статье являются избиратели, то есть физические лица. При этом предлагается установить наказание в виде штрафа I категории (от 200 до 300 расчетных показателей). Полагаем, что указанный размер штрафа является чрезмерным для физического лица, так как в большинстве случаев субъектом данного нарушения могут быть уязвимые слои населения (малообеспеченные граждане).</w:t>
      </w:r>
    </w:p>
    <w:p>
      <w:pPr>
        <w:spacing w:after="120"/>
        <w:ind w:firstLine="397"/>
        <w:jc w:val="both"/>
      </w:pPr>
      <w:r>
        <w:rPr>
          <w:rFonts w:ascii="Arial" w:cs="Arial" w:eastAsia="Arial" w:hAnsi="Arial"/>
          <w:sz w:val="24"/>
          <w:szCs w:val="24"/>
        </w:rPr>
        <w:t xml:space="preserve">Так, в соответствии с </w:t>
      </w:r>
      <w:hyperlink w:history="1" r:id="rIdinge9p59_wooes5ivs4iu">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проступках минимальным штрафом является штраф I категории.</w:t>
      </w:r>
    </w:p>
    <w:p>
      <w:pPr>
        <w:spacing w:after="120"/>
        <w:ind w:firstLine="397"/>
        <w:jc w:val="both"/>
      </w:pPr>
      <w:r>
        <w:rPr>
          <w:rFonts w:ascii="Arial" w:cs="Arial" w:eastAsia="Arial" w:hAnsi="Arial"/>
          <w:sz w:val="24"/>
          <w:szCs w:val="24"/>
        </w:rPr>
        <w:t xml:space="preserve">В этой связи предлагаем часть 3 статьи 2 законопроекта исключить, при этом статью 1 законопроекта дополнить частью 3 следующего содержания:</w:t>
      </w:r>
    </w:p>
    <w:p>
      <w:pPr>
        <w:spacing w:after="120"/>
        <w:ind w:firstLine="397"/>
        <w:jc w:val="both"/>
      </w:pPr>
      <w:r>
        <w:rPr>
          <w:rFonts w:ascii="Arial" w:cs="Arial" w:eastAsia="Arial" w:hAnsi="Arial"/>
          <w:sz w:val="24"/>
          <w:szCs w:val="24"/>
        </w:rPr>
        <w:t xml:space="preserve">"Статья 42-3. Принятие избирателем (участником референдума) денежных средств и/или материальных ценностей</w:t>
      </w:r>
    </w:p>
    <w:p>
      <w:pPr>
        <w:spacing w:after="120"/>
        <w:ind w:firstLine="397"/>
        <w:jc w:val="both"/>
      </w:pPr>
      <w:r>
        <w:rPr>
          <w:rFonts w:ascii="Arial" w:cs="Arial" w:eastAsia="Arial" w:hAnsi="Arial"/>
          <w:sz w:val="24"/>
          <w:szCs w:val="24"/>
        </w:rPr>
        <w:t xml:space="preserve">Принятие избирателем (участником референдума) для себя или для третьего лица денежных средств и/или материальных ценностей за реализацию избирательного права в ходе подготовки и проведения выборов (референдумов) либо в день голосования -</w:t>
      </w:r>
    </w:p>
    <w:p>
      <w:pPr>
        <w:spacing w:after="120"/>
        <w:ind w:firstLine="397"/>
        <w:jc w:val="both"/>
      </w:pPr>
      <w:r>
        <w:rPr>
          <w:rFonts w:ascii="Arial" w:cs="Arial" w:eastAsia="Arial" w:hAnsi="Arial"/>
          <w:sz w:val="24"/>
          <w:szCs w:val="24"/>
        </w:rPr>
        <w:t xml:space="preserve">влечет наложение штрафа II категории.".</w:t>
      </w:r>
    </w:p>
    <w:p>
      <w:pPr>
        <w:spacing w:after="120"/>
        <w:ind w:firstLine="397"/>
        <w:jc w:val="both"/>
      </w:pPr>
      <w:r>
        <w:rPr>
          <w:rFonts w:ascii="Arial" w:cs="Arial" w:eastAsia="Arial" w:hAnsi="Arial"/>
          <w:sz w:val="24"/>
          <w:szCs w:val="24"/>
        </w:rPr>
        <w:t xml:space="preserve">Вместе с тем, примечание главы 10 Кодекса Кыргызской Республики о нарушениях предлагаем дополнить абзацем вторым следующего содержания:</w:t>
      </w:r>
    </w:p>
    <w:p>
      <w:pPr>
        <w:spacing w:after="120"/>
        <w:ind w:firstLine="397"/>
        <w:jc w:val="both"/>
      </w:pPr>
      <w:r>
        <w:rPr>
          <w:rFonts w:ascii="Arial" w:cs="Arial" w:eastAsia="Arial" w:hAnsi="Arial"/>
          <w:sz w:val="24"/>
          <w:szCs w:val="24"/>
        </w:rPr>
        <w:t xml:space="preserve">"Дела о нарушениях, предусмотренных статьей 42-3 настоящего Кодекса, рассматриваются уполномоченным органом в сфере внутренних дел.".</w:t>
      </w:r>
    </w:p>
    <w:p>
      <w:pPr>
        <w:spacing w:after="120"/>
        <w:ind w:firstLine="397"/>
        <w:jc w:val="both"/>
      </w:pPr>
      <w:r>
        <w:rPr>
          <w:rFonts w:ascii="Arial" w:cs="Arial" w:eastAsia="Arial" w:hAnsi="Arial"/>
          <w:sz w:val="24"/>
          <w:szCs w:val="24"/>
        </w:rPr>
        <w:t xml:space="preserve">5. Частью 2 статьи 5 законопроекта Правительству Кыргызской Республики дается поручение в трехмесячный срок привести свои нормативные правовые акты в соответствие с указанным Законом.</w:t>
      </w:r>
    </w:p>
    <w:p>
      <w:pPr>
        <w:spacing w:after="120"/>
        <w:ind w:firstLine="397"/>
        <w:jc w:val="both"/>
      </w:pPr>
      <w:r>
        <w:rPr>
          <w:rFonts w:ascii="Arial" w:cs="Arial" w:eastAsia="Arial" w:hAnsi="Arial"/>
          <w:sz w:val="24"/>
          <w:szCs w:val="24"/>
        </w:rPr>
        <w:t xml:space="preserve">Согласно статье 24 </w:t>
      </w:r>
      <w:hyperlink w:history="1" r:id="rIdyocxx6hecmoclbo0xeuu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в случаях если для применения нормативного правового акта необходимо внесение изменений и дополнений в другие нормативные правовые акты, к вносимому проекту нормативного правового акта должны быть приложены проекты нормативных правовых актов с указанными изменениями и дополнениями.</w:t>
      </w:r>
    </w:p>
    <w:p>
      <w:pPr>
        <w:spacing w:after="120"/>
        <w:ind w:firstLine="397"/>
        <w:jc w:val="both"/>
      </w:pPr>
      <w:r>
        <w:rPr>
          <w:rFonts w:ascii="Arial" w:cs="Arial" w:eastAsia="Arial" w:hAnsi="Arial"/>
          <w:sz w:val="24"/>
          <w:szCs w:val="24"/>
        </w:rPr>
        <w:t xml:space="preserve">Вместе с тем, информация о нормативных правовых актах, подлежащих пересмотру в случае принятия рассматриваемого проекта Закона, не отражена в справке-обосновании к законопроекту.</w:t>
      </w:r>
    </w:p>
    <w:p>
      <w:pPr>
        <w:spacing w:after="120"/>
        <w:ind w:firstLine="397"/>
        <w:jc w:val="both"/>
      </w:pPr>
      <w:r>
        <w:rPr>
          <w:rFonts w:ascii="Arial" w:cs="Arial" w:eastAsia="Arial" w:hAnsi="Arial"/>
          <w:sz w:val="24"/>
          <w:szCs w:val="24"/>
        </w:rPr>
        <w:t xml:space="preserve">В этой связи предлагаем дополнить справку-обоснование сведениями о необходимости разработки или внесения соответствующих поправок в нормативные правовые акты Правительства Кыргызской Республики. В случае если по итогам анализа нормативных правовых актов Правительства Кыргызской Республики не будут выявлены решения, подлежащие пересмотру в связи с принятием данного проекта, часть 2 статьи 5 представленного законопроекта необходимо будет исключить.</w:t>
      </w:r>
    </w:p>
    <w:p>
      <w:pPr>
        <w:spacing w:after="120"/>
        <w:ind w:firstLine="397"/>
        <w:jc w:val="both"/>
      </w:pPr>
      <w:r>
        <w:rPr>
          <w:rFonts w:ascii="Arial" w:cs="Arial" w:eastAsia="Arial" w:hAnsi="Arial"/>
          <w:sz w:val="24"/>
          <w:szCs w:val="24"/>
        </w:rPr>
        <w:t xml:space="preserve">6. Одновременно отмечаем, что в соответствии с пунктом 9 </w:t>
      </w:r>
      <w:hyperlink w:history="1" r:id="rIdi0kffcl2kuqctfme2gwww">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законодательной технике, утвержденной </w:t>
      </w:r>
      <w:hyperlink w:history="1" r:id="rIdfnmurf26fwwmdr7rwvli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 наименование законопроекта, которым вносятся изменения в несколько законов, должно содержать в скобках наименование законов, в которые вносятся изменения (не более трех), или содержать краткое указание на сферу регулируемых общественных отношений, или может содержать указание на вопросы, подлежащие регулированию данным законопроектом (если из наименования законопроекта нельзя четко определить сферу регулируемых общественных отношений).</w:t>
      </w:r>
    </w:p>
    <w:p>
      <w:pPr>
        <w:spacing w:after="120"/>
        <w:ind w:firstLine="397"/>
        <w:jc w:val="both"/>
      </w:pPr>
      <w:r>
        <w:rPr>
          <w:rFonts w:ascii="Arial" w:cs="Arial" w:eastAsia="Arial" w:hAnsi="Arial"/>
          <w:sz w:val="24"/>
          <w:szCs w:val="24"/>
        </w:rPr>
        <w:t xml:space="preserve">На основании вышеизложенного Правительство Кыргызской Республики считает возможным принятие проекта Закона Кыргызской Республики "О внесении изменений в некоторые законодательные акты Кыргызской Республики в сфере избирательного законодательства (в </w:t>
      </w:r>
      <w:hyperlink w:history="1" r:id="rIdizj0l9hv3hrqer5zngfsn">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нарушениях, в </w:t>
      </w:r>
      <w:hyperlink w:history="1" r:id="rIdiun8vghosewqhrmhkbkp7">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проступках, в Уголовный </w:t>
      </w:r>
      <w:hyperlink w:history="1" r:id="rIdf2nvbbmczr6mdoioqdcrx">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 Административно-процессуальный </w:t>
      </w:r>
      <w:hyperlink w:history="1" r:id="rId1psqg5mfzlwgu3h6sfd1m">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с учетом замечаний и предложений, отраженных в настоящем заключении.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ukt8tlomoek3bw2mhqul">
      <w:r>
        <w:rPr>
          <w:rFonts w:ascii="Arial" w:cs="Arial" w:eastAsia="Arial" w:hAnsi="Arial"/>
          <w:color w:val="132D3F"/>
          <w:sz w:val="16"/>
          <w:szCs w:val="16"/>
          <w:u w:val="single"/>
        </w:rPr>
        <w:t xml:space="preserve">dalil.kg/document/157441</w:t>
      </w:r>
    </w:hyperlink>
  </w:p>
  <w:p>
    <w:pPr>
      <w:spacing w:after="0" w:before="40"/>
      <w:jc w:val="center"/>
    </w:pPr>
    <w:hyperlink w:history="1" r:id="rIdksncoydf8ctznmlj28zv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7htizuwxfjwxy0arrea8" Type="http://schemas.openxmlformats.org/officeDocument/2006/relationships/hyperlink" Target="https://dalil.kg/document/203685#st_31" TargetMode="External"/><Relationship Id="rIdjvjuyinkiorhratloms11" Type="http://schemas.openxmlformats.org/officeDocument/2006/relationships/hyperlink" Target="https://dalil.kg/document/157441#p1" TargetMode="External"/><Relationship Id="rIdmahqghjc3czeb90bxyccv" Type="http://schemas.openxmlformats.org/officeDocument/2006/relationships/hyperlink" Target="https://dalil.kg/document/111565" TargetMode="External"/><Relationship Id="rIdh1obgttdi-s7olxii4zvs" Type="http://schemas.openxmlformats.org/officeDocument/2006/relationships/hyperlink" Target="https://dalil.kg/document/111529" TargetMode="External"/><Relationship Id="rIdikst8ph4cesyc-ca40gok" Type="http://schemas.openxmlformats.org/officeDocument/2006/relationships/hyperlink" Target="https://dalil.kg/document/111527" TargetMode="External"/><Relationship Id="rIddfgtk0fak6ikvy9dicl-t" Type="http://schemas.openxmlformats.org/officeDocument/2006/relationships/hyperlink" Target="https://dalil.kg/document/111520" TargetMode="External"/><Relationship Id="rId6uujmbinwzroi9f1to8vn" Type="http://schemas.openxmlformats.org/officeDocument/2006/relationships/hyperlink" Target="https://dalil.kg/document/203685#st_31" TargetMode="External"/><Relationship Id="rIdd_ctg_3tb4yta0q2qsdxp" Type="http://schemas.openxmlformats.org/officeDocument/2006/relationships/hyperlink" Target="https://dalil.kg/document/111565" TargetMode="External"/><Relationship Id="rIdtftsiqlcchq1yhis0mje1" Type="http://schemas.openxmlformats.org/officeDocument/2006/relationships/hyperlink" Target="https://dalil.kg/document/111529" TargetMode="External"/><Relationship Id="rId4k-oijq1y-kxuan1tbsao" Type="http://schemas.openxmlformats.org/officeDocument/2006/relationships/hyperlink" Target="https://dalil.kg/document/111527" TargetMode="External"/><Relationship Id="rIdruvpfwf13aqahcns_qy8j" Type="http://schemas.openxmlformats.org/officeDocument/2006/relationships/hyperlink" Target="https://dalil.kg/document/111520" TargetMode="External"/><Relationship Id="rIdgjpcwa4kxfipgcq_twzqm" Type="http://schemas.openxmlformats.org/officeDocument/2006/relationships/hyperlink" Target="https://dalil.kg/document/111565" TargetMode="External"/><Relationship Id="rIdwn5rkzf4w2__cb7mt3vp-" Type="http://schemas.openxmlformats.org/officeDocument/2006/relationships/hyperlink" Target="https://dalil.kg/document/202591" TargetMode="External"/><Relationship Id="rIdwryyynnufx75mu-cb4hfl" Type="http://schemas.openxmlformats.org/officeDocument/2006/relationships/hyperlink" Target="https://dalil.kg/document/76491" TargetMode="External"/><Relationship Id="rId0xayfjuvglbmtnukgsxrs" Type="http://schemas.openxmlformats.org/officeDocument/2006/relationships/hyperlink" Target="https://dalil.kg/document/76490" TargetMode="External"/><Relationship Id="rIdwoc5hvb53jhp6ei9xmznk" Type="http://schemas.openxmlformats.org/officeDocument/2006/relationships/hyperlink" Target="https://dalil.kg/document/76491" TargetMode="External"/><Relationship Id="rId14svdru_uackjirlm-68b" Type="http://schemas.openxmlformats.org/officeDocument/2006/relationships/hyperlink" Target="https://dalil.kg/document/111529" TargetMode="External"/><Relationship Id="rIdtcjsksucl2phrmwa5qthc" Type="http://schemas.openxmlformats.org/officeDocument/2006/relationships/hyperlink" Target="https://dalil.kg/document/111529" TargetMode="External"/><Relationship Id="rIducfzkybptsvkmxk8b7lb2" Type="http://schemas.openxmlformats.org/officeDocument/2006/relationships/hyperlink" Target="https://dalil.kg/document/819#st_5" TargetMode="External"/><Relationship Id="rIdq9t-cq38qtvqzsia7vsqa" Type="http://schemas.openxmlformats.org/officeDocument/2006/relationships/hyperlink" Target="https://dalil.kg/document/111529" TargetMode="External"/><Relationship Id="rIddccltw1ctnr3fvcktsvdt" Type="http://schemas.openxmlformats.org/officeDocument/2006/relationships/hyperlink" Target="https://dalil.kg/document/111529" TargetMode="External"/><Relationship Id="rIdinge9p59_wooes5ivs4iu" Type="http://schemas.openxmlformats.org/officeDocument/2006/relationships/hyperlink" Target="https://dalil.kg/document/111529" TargetMode="External"/><Relationship Id="rIdyocxx6hecmoclbo0xeuuj" Type="http://schemas.openxmlformats.org/officeDocument/2006/relationships/hyperlink" Target="https://dalil.kg/document/202591" TargetMode="External"/><Relationship Id="rIdi0kffcl2kuqctfme2gwww" Type="http://schemas.openxmlformats.org/officeDocument/2006/relationships/hyperlink" Target="https://dalil.kg/document/76491" TargetMode="External"/><Relationship Id="rIdfnmurf26fwwmdr7rwvli7" Type="http://schemas.openxmlformats.org/officeDocument/2006/relationships/hyperlink" Target="https://dalil.kg/document/76490" TargetMode="External"/><Relationship Id="rIdizj0l9hv3hrqer5zngfsn" Type="http://schemas.openxmlformats.org/officeDocument/2006/relationships/hyperlink" Target="https://dalil.kg/document/111565" TargetMode="External"/><Relationship Id="rIdiun8vghosewqhrmhkbkp7" Type="http://schemas.openxmlformats.org/officeDocument/2006/relationships/hyperlink" Target="https://dalil.kg/document/111529" TargetMode="External"/><Relationship Id="rIdf2nvbbmczr6mdoioqdcrx" Type="http://schemas.openxmlformats.org/officeDocument/2006/relationships/hyperlink" Target="https://dalil.kg/document/111527" TargetMode="External"/><Relationship Id="rId1psqg5mfzlwgu3h6sfd1m" Type="http://schemas.openxmlformats.org/officeDocument/2006/relationships/hyperlink" Target="https://dalil.kg/document/111520" TargetMode="External"/><Relationship Id="rId8" Type="http://schemas.openxmlformats.org/officeDocument/2006/relationships/image" Target="media/8de64316e95979c063c17bcd5380dc052a2594e9.png"/><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ukt8tlomoek3bw2mhqul" Type="http://schemas.openxmlformats.org/officeDocument/2006/relationships/hyperlink" Target="https://dalil.kg/document/157441" TargetMode="External"/><Relationship Id="rIdksncoydf8ctznmlj28zv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2026-10-03T00:06:06.533Z</dcterms:created>
  <dcterms:modified xsi:type="dcterms:W3CDTF">2026-10-03T00:06:06.533Z</dcterms:modified>
</cp:coreProperties>
</file>

<file path=docProps/custom.xml><?xml version="1.0" encoding="utf-8"?>
<Properties xmlns="http://schemas.openxmlformats.org/officeDocument/2006/custom-properties" xmlns:vt="http://schemas.openxmlformats.org/officeDocument/2006/docPropsVTypes"/>
</file>