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Требования</w:t>
      </w:r>
      <w:r>
        <w:rPr>
          <w:rFonts w:ascii="Arial" w:cs="Arial" w:eastAsia="Arial" w:hAnsi="Arial"/>
          <w:sz w:val="24"/>
          <w:szCs w:val="24"/>
        </w:rPr>
        <w:t xml:space="preserve">
 к порядку формирования, актуализации и использования базовых государственных информационных ресурсов</w:t>
      </w:r>
    </w:p>
    <w:p>
      <w:pPr>
        <w:spacing w:after="120"/>
        <w:jc w:val="both"/>
      </w:pPr>
      <w:r>
        <w:rPr>
          <w:rFonts w:ascii="Arial" w:cs="Arial" w:eastAsia="Arial" w:hAnsi="Arial"/>
          <w:sz w:val="24"/>
          <w:szCs w:val="24"/>
        </w:rPr>
        <w:t xml:space="preserve">1. Настоящие Требования к формированию, актуализации и использованию базовых государственных информационных ресурсов разработаны в соответствии с </w:t>
      </w:r>
      <w:hyperlink w:history="1" r:id="rId6fitojfktk64fcj_ntq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 и определяют условия создания, ведения и использования базовых государственных информационных ресурсов, а также содержат перечень мер, направленных на обеспечение соблюдения прав субъектов персональных данных и меры по защите информации, в том числе меры по ограничению доступа к конфиденциальной информации, имеющейся в базовых государственных информационных ресурсах (далее - базовые ресурсы).</w:t>
      </w:r>
    </w:p>
    <w:p>
      <w:pPr>
        <w:spacing w:after="120"/>
        <w:jc w:val="both"/>
      </w:pPr>
      <w:r>
        <w:rPr>
          <w:rFonts w:ascii="Arial" w:cs="Arial" w:eastAsia="Arial" w:hAnsi="Arial"/>
          <w:sz w:val="24"/>
          <w:szCs w:val="24"/>
        </w:rPr>
        <w:t xml:space="preserve">2. Базовые ресурсы формируются в целях использования в электронном управлении актуальной, точной и полной информации; однократного сбора и многократного использования информации в Кыргызской Республике. Государственные органы и органы местного самоуправления вправе запрашивать у иных лиц информацию, имеющуюся в базовых ресурсах, только для целей актуализации сведений в базовых ресурсах.</w:t>
      </w:r>
    </w:p>
    <w:p>
      <w:pPr>
        <w:spacing w:after="120"/>
        <w:jc w:val="both"/>
      </w:pPr>
      <w:r>
        <w:rPr>
          <w:rFonts w:ascii="Arial" w:cs="Arial" w:eastAsia="Arial" w:hAnsi="Arial"/>
          <w:sz w:val="24"/>
          <w:szCs w:val="24"/>
        </w:rPr>
        <w:t xml:space="preserve">3. Базовые ресурсы предназначены для использования при осуществлении межведомственного информационного взаимодействия в целях предоставления государственных и муниципальных услуг или исполнения государственных и муниципальных функций.</w:t>
      </w:r>
    </w:p>
    <w:p>
      <w:pPr>
        <w:spacing w:after="120"/>
        <w:jc w:val="both"/>
      </w:pPr>
      <w:r>
        <w:rPr>
          <w:rFonts w:ascii="Arial" w:cs="Arial" w:eastAsia="Arial" w:hAnsi="Arial"/>
          <w:sz w:val="24"/>
          <w:szCs w:val="24"/>
        </w:rPr>
        <w:t xml:space="preserve">4. Базовые ресурсы формируются путем размещения в созданных или создаваемых базовых ресурсах эталонных данных.</w:t>
      </w:r>
    </w:p>
    <w:p>
      <w:pPr>
        <w:spacing w:after="120"/>
        <w:jc w:val="both"/>
      </w:pPr>
      <w:r>
        <w:rPr>
          <w:rFonts w:ascii="Arial" w:cs="Arial" w:eastAsia="Arial" w:hAnsi="Arial"/>
          <w:sz w:val="24"/>
          <w:szCs w:val="24"/>
        </w:rPr>
        <w:t xml:space="preserve">5. Термины и определения, используемые в настоящих требованиях:</w:t>
      </w:r>
    </w:p>
    <w:p>
      <w:pPr>
        <w:spacing w:after="120"/>
        <w:jc w:val="both"/>
      </w:pPr>
      <w:r>
        <w:rPr>
          <w:rFonts w:ascii="Arial" w:cs="Arial" w:eastAsia="Arial" w:hAnsi="Arial"/>
          <w:b/>
          <w:bCs/>
          <w:sz w:val="24"/>
          <w:szCs w:val="24"/>
        </w:rPr>
        <w:t xml:space="preserve">владелец базового ресурса</w:t>
      </w:r>
      <w:r>
        <w:rPr>
          <w:rFonts w:ascii="Arial" w:cs="Arial" w:eastAsia="Arial" w:hAnsi="Arial"/>
          <w:sz w:val="24"/>
          <w:szCs w:val="24"/>
        </w:rPr>
        <w:t xml:space="preserve"> - государственный орган, орган местного самоуправления, организовавший его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120"/>
        <w:jc w:val="both"/>
      </w:pPr>
      <w:r>
        <w:rPr>
          <w:rFonts w:ascii="Arial" w:cs="Arial" w:eastAsia="Arial" w:hAnsi="Arial"/>
          <w:sz w:val="24"/>
          <w:szCs w:val="24"/>
        </w:rPr>
        <w:t xml:space="preserve">Владелец базового ресурса может осуществлять ее эксплуатацию самостоятельно либо возложить эту функцию на иное лицо - оператора базового ресурса;</w:t>
      </w:r>
    </w:p>
    <w:p>
      <w:pPr>
        <w:spacing w:after="120"/>
        <w:jc w:val="both"/>
      </w:pPr>
      <w:r>
        <w:rPr>
          <w:rFonts w:ascii="Arial" w:cs="Arial" w:eastAsia="Arial" w:hAnsi="Arial"/>
          <w:b/>
          <w:bCs/>
          <w:sz w:val="24"/>
          <w:szCs w:val="24"/>
        </w:rPr>
        <w:t xml:space="preserve">метаданные (metadata)</w:t>
      </w:r>
      <w:r>
        <w:rPr>
          <w:rFonts w:ascii="Arial" w:cs="Arial" w:eastAsia="Arial" w:hAnsi="Arial"/>
          <w:sz w:val="24"/>
          <w:szCs w:val="24"/>
        </w:rPr>
        <w:t xml:space="preserve"> - структурированные данные, характеризующие базовый ресурс для целей его идентификации, поиска и управления им в Реестре базовых ресурсов.</w:t>
      </w:r>
    </w:p>
    <w:p>
      <w:pPr>
        <w:spacing w:after="120"/>
        <w:jc w:val="both"/>
      </w:pPr>
      <w:r>
        <w:rPr>
          <w:rFonts w:ascii="Arial" w:cs="Arial" w:eastAsia="Arial" w:hAnsi="Arial"/>
          <w:sz w:val="24"/>
          <w:szCs w:val="24"/>
        </w:rPr>
        <w:t xml:space="preserve">Элементами метаданных являются:</w:t>
      </w:r>
    </w:p>
    <w:p>
      <w:pPr>
        <w:spacing w:after="120"/>
        <w:jc w:val="both"/>
      </w:pPr>
      <w:r>
        <w:rPr>
          <w:rFonts w:ascii="Arial" w:cs="Arial" w:eastAsia="Arial" w:hAnsi="Arial"/>
          <w:sz w:val="24"/>
          <w:szCs w:val="24"/>
        </w:rPr>
        <w:t xml:space="preserve">- Title/Заголовок (наименование информационного ресурса);</w:t>
      </w:r>
    </w:p>
    <w:p>
      <w:pPr>
        <w:spacing w:after="120"/>
        <w:jc w:val="both"/>
      </w:pPr>
      <w:r>
        <w:rPr>
          <w:rFonts w:ascii="Arial" w:cs="Arial" w:eastAsia="Arial" w:hAnsi="Arial"/>
          <w:sz w:val="24"/>
          <w:szCs w:val="24"/>
        </w:rPr>
        <w:t xml:space="preserve">- Creator/Создатель (лицо (физическое или юридическое), несущее первичную ответственность за создание и ведение информационного ресурса);</w:t>
      </w:r>
    </w:p>
    <w:p>
      <w:pPr>
        <w:spacing w:after="120"/>
        <w:jc w:val="both"/>
      </w:pPr>
      <w:r>
        <w:rPr>
          <w:rFonts w:ascii="Arial" w:cs="Arial" w:eastAsia="Arial" w:hAnsi="Arial"/>
          <w:sz w:val="24"/>
          <w:szCs w:val="24"/>
        </w:rPr>
        <w:t xml:space="preserve">- Subject/Предмет (содержание информационного ресурса, как правило, выражается ключевыми словами, фразами или классификационными кодами, которые определяют тематику ресурса);</w:t>
      </w:r>
    </w:p>
    <w:p>
      <w:pPr>
        <w:spacing w:after="120"/>
        <w:jc w:val="both"/>
      </w:pPr>
      <w:r>
        <w:rPr>
          <w:rFonts w:ascii="Arial" w:cs="Arial" w:eastAsia="Arial" w:hAnsi="Arial"/>
          <w:sz w:val="24"/>
          <w:szCs w:val="24"/>
        </w:rPr>
        <w:t xml:space="preserve">- Description/Описание (обзор содержания ресурса, может содержать аннотацию, оглавление, ссылку на графическое представление содержания, полнотекстовый реферат или аннотацию, а также другие данные);</w:t>
      </w:r>
    </w:p>
    <w:p>
      <w:pPr>
        <w:spacing w:after="120"/>
        <w:jc w:val="both"/>
      </w:pPr>
      <w:r>
        <w:rPr>
          <w:rFonts w:ascii="Arial" w:cs="Arial" w:eastAsia="Arial" w:hAnsi="Arial"/>
          <w:sz w:val="24"/>
          <w:szCs w:val="24"/>
        </w:rPr>
        <w:t xml:space="preserve">- Publisher/Издатель (лицо, ответственное за предоставление ресурса пользователям, может быть физическим лицом или организацией; как правило, этот элемент данных должен идентифицировать издателя);</w:t>
      </w:r>
    </w:p>
    <w:p>
      <w:pPr>
        <w:spacing w:after="120"/>
        <w:jc w:val="both"/>
      </w:pPr>
      <w:r>
        <w:rPr>
          <w:rFonts w:ascii="Arial" w:cs="Arial" w:eastAsia="Arial" w:hAnsi="Arial"/>
          <w:sz w:val="24"/>
          <w:szCs w:val="24"/>
        </w:rPr>
        <w:t xml:space="preserve">- Contributor/Соисполнитель (лицо, ответственное за содержание ресурса, может быть физическим лицом или организацией; как правило, этот элемент данных должен идентифицировать данное лицо);</w:t>
      </w:r>
    </w:p>
    <w:p>
      <w:pPr>
        <w:spacing w:after="120"/>
        <w:jc w:val="both"/>
      </w:pPr>
      <w:r>
        <w:rPr>
          <w:rFonts w:ascii="Arial" w:cs="Arial" w:eastAsia="Arial" w:hAnsi="Arial"/>
          <w:sz w:val="24"/>
          <w:szCs w:val="24"/>
        </w:rPr>
        <w:t xml:space="preserve">- Date/Дата (обычно дата создания или предоставления ресурса в пользование; рекомендуется обозначать дату форме ГГГ-ММ-ДД);</w:t>
      </w:r>
    </w:p>
    <w:p>
      <w:pPr>
        <w:spacing w:after="120"/>
        <w:jc w:val="both"/>
      </w:pPr>
      <w:r>
        <w:rPr>
          <w:rFonts w:ascii="Arial" w:cs="Arial" w:eastAsia="Arial" w:hAnsi="Arial"/>
          <w:sz w:val="24"/>
          <w:szCs w:val="24"/>
        </w:rPr>
        <w:t xml:space="preserve">- Туре/Тип ресурса (содержания ресурса, включает в себя термины, описывающие общие категории, уровень агрегации содержания ресурса);</w:t>
      </w:r>
    </w:p>
    <w:p>
      <w:pPr>
        <w:spacing w:after="120"/>
        <w:jc w:val="both"/>
      </w:pPr>
      <w:r>
        <w:rPr>
          <w:rFonts w:ascii="Arial" w:cs="Arial" w:eastAsia="Arial" w:hAnsi="Arial"/>
          <w:sz w:val="24"/>
          <w:szCs w:val="24"/>
        </w:rPr>
        <w:t xml:space="preserve">- Format/Формат (физическое или форматное представление ресурса; как правило, определяет тип носителя или размерность данных ресурса. Формат может использоваться для идентификации программного и технического обеспечения или дополнительного оборудования для воспроизведения или работы с ресурсом. Размерность ресурса включает в себя сведения об объеме или продолжительности воспроизведения, форматы компьютерных носителей данных);</w:t>
      </w:r>
    </w:p>
    <w:p>
      <w:pPr>
        <w:spacing w:after="120"/>
        <w:jc w:val="both"/>
      </w:pPr>
      <w:r>
        <w:rPr>
          <w:rFonts w:ascii="Arial" w:cs="Arial" w:eastAsia="Arial" w:hAnsi="Arial"/>
          <w:sz w:val="24"/>
          <w:szCs w:val="24"/>
        </w:rPr>
        <w:t xml:space="preserve">- Identifier/Идентификатор ресурса (однозначная в пределах данного контекста ссылка на ресурс; рекомендуется обозначать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Source/Источник (ссылка на ресурс, послуживший источником данных; рекомендуется обозначать этот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Language/Язык (язык интеллектуального содержания ресурса; рекомендуется использовать двух- или трехбуквенные тэги языка с факультативными подтэгами. Например, "</w:t>
      </w:r>
      <w:r>
        <w:rPr>
          <w:rFonts w:ascii="Arial" w:cs="Arial" w:eastAsia="Arial" w:hAnsi="Arial"/>
          <w:sz w:val="24"/>
          <w:szCs w:val="24"/>
        </w:rPr>
        <w:t xml:space="preserve">en</w:t>
      </w:r>
      <w:r>
        <w:rPr>
          <w:rFonts w:ascii="Arial" w:cs="Arial" w:eastAsia="Arial" w:hAnsi="Arial"/>
          <w:sz w:val="24"/>
          <w:szCs w:val="24"/>
        </w:rPr>
        <w:t xml:space="preserve">" или "eng" для английского языка или "</w:t>
      </w:r>
      <w:r>
        <w:rPr>
          <w:rFonts w:ascii="Arial" w:cs="Arial" w:eastAsia="Arial" w:hAnsi="Arial"/>
          <w:sz w:val="24"/>
          <w:szCs w:val="24"/>
        </w:rPr>
        <w:t xml:space="preserve">en</w:t>
      </w:r>
      <w:r>
        <w:rPr>
          <w:rFonts w:ascii="Arial" w:cs="Arial" w:eastAsia="Arial" w:hAnsi="Arial"/>
          <w:sz w:val="24"/>
          <w:szCs w:val="24"/>
        </w:rPr>
        <w:t xml:space="preserve">-GB" для английского языка, используемого в Великобритании;</w:t>
      </w:r>
    </w:p>
    <w:p>
      <w:pPr>
        <w:spacing w:after="120"/>
        <w:jc w:val="both"/>
      </w:pPr>
      <w:r>
        <w:rPr>
          <w:rFonts w:ascii="Arial" w:cs="Arial" w:eastAsia="Arial" w:hAnsi="Arial"/>
          <w:sz w:val="24"/>
          <w:szCs w:val="24"/>
        </w:rPr>
        <w:t xml:space="preserve">- Relation/Связь (ссылка на связанный (родственный) ресурс; рекомендуется обозначать связанный ресурс цепочкой цифр или числом в соответствии с формальной системой идентификации);</w:t>
      </w:r>
    </w:p>
    <w:p>
      <w:pPr>
        <w:spacing w:after="120"/>
        <w:jc w:val="both"/>
      </w:pPr>
      <w:r>
        <w:rPr>
          <w:rFonts w:ascii="Arial" w:cs="Arial" w:eastAsia="Arial" w:hAnsi="Arial"/>
          <w:sz w:val="24"/>
          <w:szCs w:val="24"/>
        </w:rPr>
        <w:t xml:space="preserve">- Coverage/Охват (локализация и границы тематики ресурса; как правило, определяет пространственную локализацию (географическое наименование или координаты), отрезок времени (наименование периода, дата или интервал дат) или юрисдикцию (наименование административной единицы). Рекомендуется использовать словесные наименования, а не цифровые обозначения или диапазоны дат и координат);</w:t>
      </w:r>
    </w:p>
    <w:p>
      <w:pPr>
        <w:spacing w:after="120"/>
        <w:jc w:val="both"/>
      </w:pPr>
      <w:r>
        <w:rPr>
          <w:rFonts w:ascii="Arial" w:cs="Arial" w:eastAsia="Arial" w:hAnsi="Arial"/>
          <w:sz w:val="24"/>
          <w:szCs w:val="24"/>
        </w:rPr>
        <w:t xml:space="preserve">- Rights/Права (сведения о правах на использование и управление ресурсом; как правило, элемент содержит положение об управлении ресурсом или ссылку на службу, где можно получить эту информацию. Сведения о правах часто включают право интеллектуальной собственности, другие имущественные права. Отсутствие элемента Права не может служить основанием для каких-либо выводов о правах на использование и управление ресурсом);</w:t>
      </w:r>
    </w:p>
    <w:p>
      <w:pPr>
        <w:spacing w:after="120"/>
        <w:jc w:val="both"/>
      </w:pPr>
      <w:r>
        <w:rPr>
          <w:rFonts w:ascii="Arial" w:cs="Arial" w:eastAsia="Arial" w:hAnsi="Arial"/>
          <w:b/>
          <w:bCs/>
          <w:sz w:val="24"/>
          <w:szCs w:val="24"/>
        </w:rPr>
        <w:t xml:space="preserve">машиночитаемые описания</w:t>
      </w:r>
      <w:r>
        <w:rPr>
          <w:rFonts w:ascii="Arial" w:cs="Arial" w:eastAsia="Arial" w:hAnsi="Arial"/>
          <w:sz w:val="24"/>
          <w:szCs w:val="24"/>
        </w:rPr>
        <w:t xml:space="preserve"> - описания эталонных данных, соответствующие возможности декодирования информации из ее формы представления (хранения), чтения (т.е. сканирования или восприятия) машиной или компьютером и пригодные к обработке машиной или компьютером без предварительной обработки (на определенном виде носителей, в определенном формате, и т.п.),</w:t>
      </w:r>
    </w:p>
    <w:p>
      <w:pPr>
        <w:spacing w:after="120"/>
        <w:jc w:val="both"/>
      </w:pPr>
      <w:r>
        <w:rPr>
          <w:rFonts w:ascii="Arial" w:cs="Arial" w:eastAsia="Arial" w:hAnsi="Arial"/>
          <w:b/>
          <w:bCs/>
          <w:sz w:val="24"/>
          <w:szCs w:val="24"/>
        </w:rPr>
        <w:t xml:space="preserve">эталонные данные</w:t>
      </w:r>
      <w:r>
        <w:rPr>
          <w:rFonts w:ascii="Arial" w:cs="Arial" w:eastAsia="Arial" w:hAnsi="Arial"/>
          <w:sz w:val="24"/>
          <w:szCs w:val="24"/>
        </w:rPr>
        <w:t xml:space="preserve"> - уникальные сведения (структурированные данные) об объекте либо о субъекте (физическом или юридическом лице), которые предназначены для использования при осуществлении межведомственного электронного взаимодействия в целях предоставления государственных и муниципальных услуг.</w:t>
      </w:r>
    </w:p>
    <w:p>
      <w:pPr>
        <w:spacing w:after="120"/>
        <w:jc w:val="both"/>
      </w:pPr>
      <w:r>
        <w:rPr>
          <w:rFonts w:ascii="Arial" w:cs="Arial" w:eastAsia="Arial" w:hAnsi="Arial"/>
          <w:sz w:val="24"/>
          <w:szCs w:val="24"/>
        </w:rPr>
        <w:t xml:space="preserve">6. Владельцы базовых ресурсов обеспечивают:</w:t>
      </w:r>
    </w:p>
    <w:p>
      <w:pPr>
        <w:spacing w:after="120"/>
        <w:jc w:val="both"/>
      </w:pPr>
      <w:r>
        <w:rPr>
          <w:rFonts w:ascii="Arial" w:cs="Arial" w:eastAsia="Arial" w:hAnsi="Arial"/>
          <w:sz w:val="24"/>
          <w:szCs w:val="24"/>
        </w:rPr>
        <w:t xml:space="preserve">1) в соответствии с полномочиями, предусмотренными соответствующими нормативными правовыми актами и законодательством Кыргызской Республики в сфере информации персонального характера, электронного управления доступ государственных органов и органов местного самоуправления к сведениям, содержащимся в базовом ресурсе, в том числе с использованием системы межведомственного электронного взаимодействия "Тундук";</w:t>
      </w:r>
    </w:p>
    <w:p>
      <w:pPr>
        <w:spacing w:after="120"/>
        <w:jc w:val="both"/>
      </w:pPr>
      <w:r>
        <w:rPr>
          <w:rFonts w:ascii="Arial" w:cs="Arial" w:eastAsia="Arial" w:hAnsi="Arial"/>
          <w:sz w:val="24"/>
          <w:szCs w:val="24"/>
        </w:rPr>
        <w:t xml:space="preserve">2) актуальность информации, составляющей базовый ресурс, в соответствии с предоставленными гражданином документами.</w:t>
      </w:r>
    </w:p>
    <w:p>
      <w:pPr>
        <w:spacing w:after="120"/>
        <w:jc w:val="both"/>
      </w:pPr>
      <w:r>
        <w:rPr>
          <w:rFonts w:ascii="Arial" w:cs="Arial" w:eastAsia="Arial" w:hAnsi="Arial"/>
          <w:sz w:val="24"/>
          <w:szCs w:val="24"/>
        </w:rPr>
        <w:t xml:space="preserve">7. Владелец базового ресурса обеспечивает возможность получения информации из базового ресурса на основе использования системы межведомственного электронного взаимодействия "Тундук". Информация из базового ресурса должна быть предоставлена посредством системы межведомственного электронного взаимодействия "Тундук", в порядке и сроки, установленные соглашением о порядке взаимодействия.</w:t>
      </w:r>
    </w:p>
    <w:p>
      <w:pPr>
        <w:spacing w:after="120"/>
        <w:jc w:val="both"/>
      </w:pPr>
      <w:r>
        <w:rPr>
          <w:rFonts w:ascii="Arial" w:cs="Arial" w:eastAsia="Arial" w:hAnsi="Arial"/>
          <w:sz w:val="24"/>
          <w:szCs w:val="24"/>
        </w:rPr>
        <w:t xml:space="preserve">8. Отказ в предоставлении информации из базового ресурса допускается только в случаях, когда запрошенная информация отсутствует в данном базовом ресурсе, а также в случаях, предусмотренных законодательством Кыргызской Республики в сфере информации персонального характера и электронного управления.</w:t>
      </w:r>
    </w:p>
    <w:p>
      <w:pPr>
        <w:spacing w:after="120"/>
        <w:jc w:val="both"/>
      </w:pPr>
      <w:r>
        <w:rPr>
          <w:rFonts w:ascii="Arial" w:cs="Arial" w:eastAsia="Arial" w:hAnsi="Arial"/>
          <w:sz w:val="24"/>
          <w:szCs w:val="24"/>
        </w:rPr>
        <w:t xml:space="preserve">9. При получении запроса, не позволяющего однозначно определить состав запрашиваемой информации или получателя информации, владелец базового ресурса запрашивает у лица, направившего запрос, уточненные сведения.</w:t>
      </w:r>
    </w:p>
    <w:p>
      <w:pPr>
        <w:spacing w:after="120"/>
        <w:jc w:val="both"/>
      </w:pPr>
      <w:r>
        <w:rPr>
          <w:rFonts w:ascii="Arial" w:cs="Arial" w:eastAsia="Arial" w:hAnsi="Arial"/>
          <w:sz w:val="24"/>
          <w:szCs w:val="24"/>
        </w:rPr>
        <w:t xml:space="preserve">10. Информация из базового ресурса предоставляется на платной и/или бесплатной основе. Размер оплаты за предоставление информации из базового ресурса определяются в соответствии с </w:t>
      </w:r>
      <w:hyperlink w:history="1" r:id="rIdoxwo7d3wv9cjzihjcgobu">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 утвержденным </w:t>
      </w:r>
      <w:hyperlink w:history="1" r:id="rIdxejkpr38yz_yz8-j27u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октября 2000 года № 637.</w:t>
      </w:r>
    </w:p>
    <w:p>
      <w:pPr>
        <w:spacing w:after="120"/>
        <w:jc w:val="both"/>
      </w:pPr>
      <w:r>
        <w:rPr>
          <w:rFonts w:ascii="Arial" w:cs="Arial" w:eastAsia="Arial" w:hAnsi="Arial"/>
          <w:sz w:val="24"/>
          <w:szCs w:val="24"/>
        </w:rPr>
        <w:t xml:space="preserve">11. Физические и юридические лица имеют право на получение информации из базовых ресурсов.</w:t>
      </w:r>
    </w:p>
    <w:p>
      <w:pPr>
        <w:spacing w:after="120"/>
        <w:jc w:val="both"/>
      </w:pPr>
      <w:r>
        <w:rPr>
          <w:rFonts w:ascii="Arial" w:cs="Arial" w:eastAsia="Arial" w:hAnsi="Arial"/>
          <w:sz w:val="24"/>
          <w:szCs w:val="24"/>
        </w:rPr>
        <w:t xml:space="preserve">12. Работа с базовыми ресурсами должна вестись в порядке, установленном настоящими Требованиями, либо должна быть регламентирована утвержденным ведомственным актом владельца базового ресурса.</w:t>
      </w:r>
    </w:p>
    <w:p>
      <w:pPr>
        <w:spacing w:after="120"/>
        <w:jc w:val="both"/>
      </w:pPr>
      <w:r>
        <w:rPr>
          <w:rFonts w:ascii="Arial" w:cs="Arial" w:eastAsia="Arial" w:hAnsi="Arial"/>
          <w:sz w:val="24"/>
          <w:szCs w:val="24"/>
        </w:rPr>
        <w:t xml:space="preserve">13. Ведомственный акт владельца базового ресурса, регламентирующий порядок формирования, актуализации и использования базовых ресурсов, должен включать, в том числе:</w:t>
      </w:r>
    </w:p>
    <w:p>
      <w:pPr>
        <w:spacing w:after="120"/>
        <w:jc w:val="both"/>
      </w:pPr>
      <w:r>
        <w:rPr>
          <w:rFonts w:ascii="Arial" w:cs="Arial" w:eastAsia="Arial" w:hAnsi="Arial"/>
          <w:sz w:val="24"/>
          <w:szCs w:val="24"/>
        </w:rPr>
        <w:t xml:space="preserve">- перечень должностных лиц, на которых возложена ответственность за соблюдение порядка ведения базового ресурса;</w:t>
      </w:r>
    </w:p>
    <w:p>
      <w:pPr>
        <w:spacing w:after="120"/>
        <w:jc w:val="both"/>
      </w:pPr>
      <w:r>
        <w:rPr>
          <w:rFonts w:ascii="Arial" w:cs="Arial" w:eastAsia="Arial" w:hAnsi="Arial"/>
          <w:sz w:val="24"/>
          <w:szCs w:val="24"/>
        </w:rPr>
        <w:t xml:space="preserve">- перечень эталонных данных, содержащихся в базовом ресурсе, их структурированные машиночитаемые описания, в том числе схемы данных (данные о взаимном расположении и иерархии сведений, кодировке, обозначениях, допустимых типах и значениях);</w:t>
      </w:r>
    </w:p>
    <w:p>
      <w:pPr>
        <w:spacing w:after="120"/>
        <w:jc w:val="both"/>
      </w:pPr>
      <w:r>
        <w:rPr>
          <w:rFonts w:ascii="Arial" w:cs="Arial" w:eastAsia="Arial" w:hAnsi="Arial"/>
          <w:sz w:val="24"/>
          <w:szCs w:val="24"/>
        </w:rPr>
        <w:t xml:space="preserve">- порядок доступа к эталонным данным, содержащимся в базовом ресурсе, включая порядок доступа к общедоступным сведениям, порядок доступа к сведениям, доступ к которым ограничен законом, и порядок доступа с использованием технических средств автоматизированного обмена данными;</w:t>
      </w:r>
    </w:p>
    <w:p>
      <w:pPr>
        <w:spacing w:after="120"/>
        <w:jc w:val="both"/>
      </w:pPr>
      <w:r>
        <w:rPr>
          <w:rFonts w:ascii="Arial" w:cs="Arial" w:eastAsia="Arial" w:hAnsi="Arial"/>
          <w:sz w:val="24"/>
          <w:szCs w:val="24"/>
        </w:rPr>
        <w:t xml:space="preserve">- порядок обеспечения защиты эталонных данных, в том числе персональных данных;</w:t>
      </w:r>
    </w:p>
    <w:p>
      <w:pPr>
        <w:spacing w:after="120"/>
        <w:jc w:val="both"/>
      </w:pPr>
      <w:r>
        <w:rPr>
          <w:rFonts w:ascii="Arial" w:cs="Arial" w:eastAsia="Arial" w:hAnsi="Arial"/>
          <w:sz w:val="24"/>
          <w:szCs w:val="24"/>
        </w:rPr>
        <w:t xml:space="preserve">- порядок доступа к архивным эталонным данным, содержащимся в базовом ресурсе;</w:t>
      </w:r>
    </w:p>
    <w:p>
      <w:pPr>
        <w:spacing w:after="120"/>
        <w:jc w:val="both"/>
      </w:pPr>
      <w:r>
        <w:rPr>
          <w:rFonts w:ascii="Arial" w:cs="Arial" w:eastAsia="Arial" w:hAnsi="Arial"/>
          <w:sz w:val="24"/>
          <w:szCs w:val="24"/>
        </w:rPr>
        <w:t xml:space="preserve">- порядок рассмотрения уведомлений о выявленных противоречиях между эталонными данными об объекте, о субъекте (физическом или юридическом лице), содержащимися в базовом ресурсе, и сведениями, находящимися в распоряжении заинтересованного органа либо полученными им при предоставлении государственной или муниципальной услуги, а также срок рассмотрения таких уведомлений и принятия решения о внесении изменений в эталонные данные об объекте, о субъекте (физическом или юридическом лице), содержащиеся в базовом ресурсе, который не может составлять более 3 рабочих дней.</w:t>
      </w:r>
    </w:p>
    <w:p>
      <w:pPr>
        <w:spacing w:after="120"/>
        <w:jc w:val="both"/>
      </w:pPr>
      <w:r>
        <w:rPr>
          <w:rFonts w:ascii="Arial" w:cs="Arial" w:eastAsia="Arial" w:hAnsi="Arial"/>
          <w:sz w:val="24"/>
          <w:szCs w:val="24"/>
        </w:rPr>
        <w:t xml:space="preserve">14. Информация, в том числе конфиденциальная, находящаяся в базовых ресурсах, подлежит защите в соответствии с </w:t>
      </w:r>
      <w:hyperlink w:history="1" r:id="rIdndlykobhl045o8cumbwml">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обеспечению безопасности и защите персональных данных при их обработке в информационных системах персональных данных, исполнение которых обеспечивает установленные уровни защищенности персональных данных, утвержденными </w:t>
      </w:r>
      <w:hyperlink w:history="1" r:id="rIdhge4hzuxfpf2fvtuz0dw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760, и </w:t>
      </w:r>
      <w:hyperlink w:history="1" r:id="rIds4ycgjhsql279getxn0cz">
        <w:r>
          <w:rPr>
            <w:rFonts w:ascii="Arial" w:cs="Arial" w:eastAsia="Arial" w:hAnsi="Arial"/>
            <w:color w:val="1D4ED8"/>
            <w:sz w:val="24"/>
            <w:szCs w:val="24"/>
            <w:u w:val="single"/>
          </w:rPr>
          <w:t xml:space="preserve">Требованиями</w:t>
        </w:r>
      </w:hyperlink>
      <w:r>
        <w:rPr>
          <w:rFonts w:ascii="Arial" w:cs="Arial" w:eastAsia="Arial" w:hAnsi="Arial"/>
          <w:sz w:val="24"/>
          <w:szCs w:val="24"/>
        </w:rPr>
        <w:t xml:space="preserve"> к защите информации, содержащейся в базах данных государственных информационных систем, утвержденными </w:t>
      </w:r>
      <w:hyperlink w:history="1" r:id="rIdl9vjr3voi_gigj2xzwy7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ноября 2017 года № 762.</w:t>
      </w:r>
    </w:p>
    <w:p>
      <w:pPr>
        <w:spacing w:after="120"/>
        <w:jc w:val="both"/>
      </w:pPr>
      <w:r>
        <w:rPr>
          <w:rFonts w:ascii="Arial" w:cs="Arial" w:eastAsia="Arial" w:hAnsi="Arial"/>
          <w:sz w:val="24"/>
          <w:szCs w:val="24"/>
        </w:rPr>
        <w:t xml:space="preserve">15. Безопасность базовых ресурсов обеспечивается комплексом организационно-технических мер и программно-аппаратных средств защиты информации.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t14dgbvapds09yvppjw">
      <w:r>
        <w:rPr>
          <w:rFonts w:ascii="Arial" w:cs="Arial" w:eastAsia="Arial" w:hAnsi="Arial"/>
          <w:color w:val="132D3F"/>
          <w:sz w:val="16"/>
          <w:szCs w:val="16"/>
          <w:u w:val="single"/>
        </w:rPr>
        <w:t xml:space="preserve">dalil.kg/document/157513</w:t>
      </w:r>
    </w:hyperlink>
  </w:p>
  <w:p>
    <w:pPr>
      <w:spacing w:after="0" w:before="40"/>
      <w:jc w:val="center"/>
    </w:pPr>
    <w:hyperlink w:history="1" r:id="rIdvcvexvkwnjqr9l0_ttum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fitojfktk64fcj_ntqv-" Type="http://schemas.openxmlformats.org/officeDocument/2006/relationships/hyperlink" Target="https://dalil.kg/document/111634" TargetMode="External"/><Relationship Id="rIdoxwo7d3wv9cjzihjcgobu" Type="http://schemas.openxmlformats.org/officeDocument/2006/relationships/hyperlink" Target="https://dalil.kg/document/7735" TargetMode="External"/><Relationship Id="rIdxejkpr38yz_yz8-j27uwv" Type="http://schemas.openxmlformats.org/officeDocument/2006/relationships/hyperlink" Target="https://dalil.kg/document/7734" TargetMode="External"/><Relationship Id="rIdndlykobhl045o8cumbwml" Type="http://schemas.openxmlformats.org/officeDocument/2006/relationships/hyperlink" Target="https://dalil.kg/document/11512#p1" TargetMode="External"/><Relationship Id="rIdhge4hzuxfpf2fvtuz0dws" Type="http://schemas.openxmlformats.org/officeDocument/2006/relationships/hyperlink" Target="https://dalil.kg/document/11512" TargetMode="External"/><Relationship Id="rIds4ycgjhsql279getxn0cz" Type="http://schemas.openxmlformats.org/officeDocument/2006/relationships/hyperlink" Target="https://dalil.kg/document/11511#p1" TargetMode="External"/><Relationship Id="rIdl9vjr3voi_gigj2xzwy7p" Type="http://schemas.openxmlformats.org/officeDocument/2006/relationships/hyperlink" Target="https://dalil.kg/document/1151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t14dgbvapds09yvppjw" Type="http://schemas.openxmlformats.org/officeDocument/2006/relationships/hyperlink" Target="https://dalil.kg/document/157513" TargetMode="External"/><Relationship Id="rIdvcvexvkwnjqr9l0_ttum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2026-10-02T23:09:33.807Z</dcterms:created>
  <dcterms:modified xsi:type="dcterms:W3CDTF">2026-10-02T23:09:33.807Z</dcterms:modified>
</cp:coreProperties>
</file>

<file path=docProps/custom.xml><?xml version="1.0" encoding="utf-8"?>
<Properties xmlns="http://schemas.openxmlformats.org/officeDocument/2006/custom-properties" xmlns:vt="http://schemas.openxmlformats.org/officeDocument/2006/docPropsVTypes"/>
</file>