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11</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Порядок
 таможенного контроля товаров с применением системы двойного коридора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последовательность проведения таможенного контроля товаров для личного пользования с применением системы двойного коридора.</w:t>
      </w:r>
    </w:p>
    <w:p>
      <w:pPr>
        <w:spacing w:after="60"/>
        <w:ind w:firstLine="567"/>
        <w:jc w:val="both"/>
      </w:pPr>
      <w:r>
        <w:rPr>
          <w:rFonts w:ascii="Arial" w:cs="Arial" w:eastAsia="Arial" w:hAnsi="Arial"/>
          <w:sz w:val="24"/>
          <w:szCs w:val="24"/>
        </w:rPr>
        <w:t xml:space="preserve">2. Понятия, используемые в настоящем Порядке, применяются в значениях, установленных Таможенным кодексом Евразийского экономического союза (далее - Кодекс), международными договорами, актами в сфере таможенного регулирования,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 Система двойного коридора - система таможенного контроля, позволяющая физическим лицам, следующим через таможенную границу Евразийского экономического союза в Кыргызской Республике (далее - таможенная граница), осуществлять самостоятельный выбор между "красным" коридором (с таможенным декларированием товаров в письменной форме) и "зеленым" коридором.</w:t>
      </w:r>
    </w:p>
    <w:p>
      <w:pPr>
        <w:spacing w:after="60"/>
        <w:ind w:firstLine="567"/>
        <w:jc w:val="both"/>
      </w:pPr>
      <w:r>
        <w:rPr>
          <w:rFonts w:ascii="Arial" w:cs="Arial" w:eastAsia="Arial" w:hAnsi="Arial"/>
          <w:sz w:val="24"/>
          <w:szCs w:val="24"/>
        </w:rPr>
        <w:t xml:space="preserve">4. Таможенный контроль товаров, перемещаемых физическими лицами, в местах перемещения через таможенную границу производит таможенный орган, в регионе деятельности которого расположено место перемещения, с учетом особенностей, приведенных в настоящем Порядке.</w:t>
      </w:r>
    </w:p>
    <w:p>
      <w:pPr>
        <w:spacing w:after="60"/>
        <w:ind w:firstLine="567"/>
        <w:jc w:val="both"/>
      </w:pPr>
      <w:r>
        <w:rPr>
          <w:rFonts w:ascii="Arial" w:cs="Arial" w:eastAsia="Arial" w:hAnsi="Arial"/>
          <w:sz w:val="24"/>
          <w:szCs w:val="24"/>
        </w:rPr>
        <w:t xml:space="preserve">5. Физическое лицо вправе по своему желанию письменно декларировать товары, перемещаемые им через таможенную границу, не подлежащие обязательному письменному декларированию.</w:t>
      </w:r>
    </w:p>
    <w:p>
      <w:pPr>
        <w:spacing w:after="60"/>
        <w:ind w:firstLine="567"/>
        <w:jc w:val="both"/>
      </w:pPr>
      <w:r>
        <w:rPr>
          <w:rFonts w:ascii="Arial" w:cs="Arial" w:eastAsia="Arial" w:hAnsi="Arial"/>
          <w:sz w:val="24"/>
          <w:szCs w:val="24"/>
        </w:rPr>
        <w:t xml:space="preserve">6. Применение системы двойного коридора предусматривает самостоятельный выбор физическим лицом, следующим через таможенную границу, соответствующего коридора ("красного" или "зеленого") для совершения (несовершения) таможенных операций, связанных с таможенным декларированием товаров для личного пользования.</w:t>
      </w:r>
    </w:p>
    <w:p>
      <w:pPr>
        <w:spacing w:after="60"/>
        <w:ind w:firstLine="567"/>
        <w:jc w:val="both"/>
      </w:pPr>
      <w:r>
        <w:rPr>
          <w:rFonts w:ascii="Arial" w:cs="Arial" w:eastAsia="Arial" w:hAnsi="Arial"/>
          <w:sz w:val="24"/>
          <w:szCs w:val="24"/>
        </w:rPr>
        <w:t xml:space="preserve">7. Перечень мест перемещения товаров через таможенную границу, в которых применяется система двойного коридора, определен </w:t>
      </w:r>
      <w:hyperlink w:history="1" r:id="rId5tn19m2ohsehrs5rokh1e">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8. Таможенный орган, производящий таможенный контроль товаров, перемещаемых физическими лицами через таможенную границу, организовывает непосредственно перед системой двойного коридора информационную зону, предназначенную для того, чтобы физическое лицо имело возможность сделать осознанный выбор формы декларирования товаров и соответствующего коридора.</w:t>
      </w:r>
    </w:p>
    <w:p>
      <w:pPr>
        <w:spacing w:after="60"/>
        <w:ind w:firstLine="567"/>
        <w:jc w:val="both"/>
      </w:pPr>
      <w:r>
        <w:rPr>
          <w:rFonts w:ascii="Arial" w:cs="Arial" w:eastAsia="Arial" w:hAnsi="Arial"/>
          <w:sz w:val="24"/>
          <w:szCs w:val="24"/>
        </w:rPr>
        <w:t xml:space="preserve">9. Место перемещения оборудуется стендами, щитами, табло, буклетами и иными информационными материалами, изложенными на кыргызском, русском и английском языках, а также любом другом языке, использование которого будет признано целесообразным таможенным органом, в регионе деятельности которого расположено конкретное место перемещения, если иное не установлено актами Евразийской экономической комиссии.</w:t>
      </w:r>
    </w:p>
    <w:p>
      <w:pPr>
        <w:spacing w:after="200" w:before="200"/>
        <w:jc w:val="center"/>
      </w:pPr>
      <w:r>
        <w:rPr>
          <w:rFonts w:ascii="Arial" w:cs="Arial" w:eastAsia="Arial" w:hAnsi="Arial"/>
          <w:b/>
          <w:bCs/>
          <w:sz w:val="24"/>
          <w:szCs w:val="24"/>
        </w:rPr>
        <w:t xml:space="preserve">2. Прохождение "красного" коридора</w:t>
      </w:r>
    </w:p>
    <w:p>
      <w:pPr>
        <w:spacing w:after="60"/>
        <w:ind w:firstLine="567"/>
        <w:jc w:val="both"/>
      </w:pPr>
      <w:r>
        <w:rPr>
          <w:rFonts w:ascii="Arial" w:cs="Arial" w:eastAsia="Arial" w:hAnsi="Arial"/>
          <w:sz w:val="24"/>
          <w:szCs w:val="24"/>
        </w:rPr>
        <w:t xml:space="preserve">10. При выборе "красного" коридора физическое лицо осуществляет декларирование товаров в письменной форме.</w:t>
      </w:r>
    </w:p>
    <w:p>
      <w:pPr>
        <w:spacing w:after="60"/>
        <w:ind w:firstLine="567"/>
        <w:jc w:val="both"/>
      </w:pPr>
      <w:r>
        <w:rPr>
          <w:rFonts w:ascii="Arial" w:cs="Arial" w:eastAsia="Arial" w:hAnsi="Arial"/>
          <w:sz w:val="24"/>
          <w:szCs w:val="24"/>
        </w:rPr>
        <w:t xml:space="preserve">11. Вход в "красный" коридор обозначается специальным графическим символом в виде квадрата красного цвета, а также надписями "Кызыл коридор", "Красный коридор", ("Red channel") и "Товары, подлежащие обязательному письменному декларированию", "Милдетуу турдо жазуу жузундо декларациялануучу товарлар" ("Goods to declare") на кыргызском, русском и английском языках, выполненными красным цветом.</w:t>
      </w:r>
    </w:p>
    <w:p>
      <w:pPr>
        <w:spacing w:after="60"/>
        <w:ind w:firstLine="567"/>
        <w:jc w:val="both"/>
      </w:pPr>
      <w:r>
        <w:rPr>
          <w:rFonts w:ascii="Arial" w:cs="Arial" w:eastAsia="Arial" w:hAnsi="Arial"/>
          <w:sz w:val="24"/>
          <w:szCs w:val="24"/>
        </w:rPr>
        <w:t xml:space="preserve">12. "Красный коридор" предназначен для декларирования физическими лицами перемещаемых ими через таможенную границу в сопровождаемом багаже товаров, подлежащих обязательному письменному декларированию, а также для заявления сведений о намерении перемещения товаров в несопровождаемом багаже.</w:t>
      </w:r>
    </w:p>
    <w:p>
      <w:pPr>
        <w:spacing w:after="60"/>
        <w:ind w:firstLine="567"/>
        <w:jc w:val="both"/>
      </w:pPr>
      <w:r>
        <w:rPr>
          <w:rFonts w:ascii="Arial" w:cs="Arial" w:eastAsia="Arial" w:hAnsi="Arial"/>
          <w:sz w:val="24"/>
          <w:szCs w:val="24"/>
        </w:rPr>
        <w:t xml:space="preserve">13. При выборе физическим лицом письменной формы декларирования ("красный коридор"), лицо производит таможенное декларирование товаров в соответствии с таможенным законодательством Евразийского экономического союза, законодательства Кыргызской Республики в сфере таможенного дела.</w:t>
      </w:r>
    </w:p>
    <w:p>
      <w:pPr>
        <w:spacing w:after="200" w:before="200"/>
        <w:jc w:val="center"/>
      </w:pPr>
      <w:r>
        <w:rPr>
          <w:rFonts w:ascii="Arial" w:cs="Arial" w:eastAsia="Arial" w:hAnsi="Arial"/>
          <w:b/>
          <w:bCs/>
          <w:sz w:val="24"/>
          <w:szCs w:val="24"/>
        </w:rPr>
        <w:t xml:space="preserve">3. Прохождение "зеленого" коридора</w:t>
      </w:r>
    </w:p>
    <w:p>
      <w:pPr>
        <w:spacing w:after="60"/>
        <w:ind w:firstLine="567"/>
        <w:jc w:val="both"/>
      </w:pPr>
      <w:r>
        <w:rPr>
          <w:rFonts w:ascii="Arial" w:cs="Arial" w:eastAsia="Arial" w:hAnsi="Arial"/>
          <w:sz w:val="24"/>
          <w:szCs w:val="24"/>
        </w:rPr>
        <w:t xml:space="preserve">14. При выборе "зеленого" коридора физическое лицо путем совершения действий (прохождение по "зеленому коридору") заявляет о том, что в сопровождаемом багаже физического лица не содержится товаров, подлежащих обязательному таможенному декларированию.</w:t>
      </w:r>
    </w:p>
    <w:p>
      <w:pPr>
        <w:spacing w:after="60"/>
        <w:ind w:firstLine="567"/>
        <w:jc w:val="both"/>
      </w:pPr>
      <w:r>
        <w:rPr>
          <w:rFonts w:ascii="Arial" w:cs="Arial" w:eastAsia="Arial" w:hAnsi="Arial"/>
          <w:sz w:val="24"/>
          <w:szCs w:val="24"/>
        </w:rPr>
        <w:t xml:space="preserve">15. Вход в "зеленый" коридор обозначается специальным графическим символом в виде зеленого цвета на белом фоне, а также надписями "Жашыл коридор", "Зеленый коридор" ("Green channel") и "Милдетуу турдо жазуу жузундо декларациялануучу товарлар жок", "Товаров, подлежащих обязательному письменному декларированию, нет" ("Nothing to declare") на государственном, официальном и английском языках, выполненными зеленым цветом.</w:t>
      </w:r>
    </w:p>
    <w:p>
      <w:pPr>
        <w:spacing w:after="60"/>
        <w:ind w:firstLine="567"/>
        <w:jc w:val="both"/>
      </w:pPr>
      <w:r>
        <w:rPr>
          <w:rFonts w:ascii="Arial" w:cs="Arial" w:eastAsia="Arial" w:hAnsi="Arial"/>
          <w:sz w:val="24"/>
          <w:szCs w:val="24"/>
        </w:rPr>
        <w:t xml:space="preserve">16. При следовании по "зеленому" коридору, в отношении физических лиц должностные лица таможенного органа для целей обеспечения соблюдения международных договоров, актов в сфере таможенного регулирования, законодательства Кыргызской Республики в сфере таможенного дела вправе выборочно применять формы таможенного контроля и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17. Неприменение отдельных форм таможенного контроля в "зеленом" коридоре не означает, что физическое лицо освобождается от обязанности соблюдать международные договоры, акты в сфере таможенного регулирования,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В случае выявления нарушения таможенного законодательства Евразийского экономического союза и законодательства Кыргызской Республики в сфере таможенного дела после прохождения "зеленого" коридора, физические лица несут ответственность в соответствии с уголовным законодательством Кыргызской Республики или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таможенного контроля товаров с применением системы двойного коридора</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мест перемещения товаров через таможенную границу Евразийского экономического союза в Кыргызской Республике, в которых применяется система двойного коридора</w:t>
      </w:r>
    </w:p>
    <w:p>
      <w:pPr>
        <w:spacing w:after="60"/>
        <w:ind w:firstLine="567"/>
        <w:jc w:val="both"/>
      </w:pPr>
      <w:r>
        <w:rPr>
          <w:rFonts w:ascii="Arial" w:cs="Arial" w:eastAsia="Arial" w:hAnsi="Arial"/>
          <w:sz w:val="24"/>
          <w:szCs w:val="24"/>
        </w:rPr>
        <w:t xml:space="preserve">1. Торугарт автодорожный</w:t>
      </w:r>
    </w:p>
    <w:p>
      <w:pPr>
        <w:spacing w:after="60"/>
        <w:ind w:firstLine="567"/>
        <w:jc w:val="both"/>
      </w:pPr>
      <w:r>
        <w:rPr>
          <w:rFonts w:ascii="Arial" w:cs="Arial" w:eastAsia="Arial" w:hAnsi="Arial"/>
          <w:sz w:val="24"/>
          <w:szCs w:val="24"/>
        </w:rPr>
        <w:t xml:space="preserve">2. Иркештам автодорожный</w:t>
      </w:r>
    </w:p>
    <w:p>
      <w:pPr>
        <w:spacing w:after="60"/>
        <w:ind w:firstLine="567"/>
        <w:jc w:val="both"/>
      </w:pPr>
      <w:r>
        <w:rPr>
          <w:rFonts w:ascii="Arial" w:cs="Arial" w:eastAsia="Arial" w:hAnsi="Arial"/>
          <w:sz w:val="24"/>
          <w:szCs w:val="24"/>
        </w:rPr>
        <w:t xml:space="preserve">3. Кайрагач автодорожный</w:t>
      </w:r>
    </w:p>
    <w:p>
      <w:pPr>
        <w:spacing w:after="60"/>
        <w:ind w:firstLine="567"/>
        <w:jc w:val="both"/>
      </w:pPr>
      <w:r>
        <w:rPr>
          <w:rFonts w:ascii="Arial" w:cs="Arial" w:eastAsia="Arial" w:hAnsi="Arial"/>
          <w:sz w:val="24"/>
          <w:szCs w:val="24"/>
        </w:rPr>
        <w:t xml:space="preserve">4. Кызыл-Бель автодорожный</w:t>
      </w:r>
    </w:p>
    <w:p>
      <w:pPr>
        <w:spacing w:after="60"/>
        <w:ind w:firstLine="567"/>
        <w:jc w:val="both"/>
      </w:pPr>
      <w:r>
        <w:rPr>
          <w:rFonts w:ascii="Arial" w:cs="Arial" w:eastAsia="Arial" w:hAnsi="Arial"/>
          <w:sz w:val="24"/>
          <w:szCs w:val="24"/>
        </w:rPr>
        <w:t xml:space="preserve">5. Карамык автодорожный</w:t>
      </w:r>
    </w:p>
    <w:p>
      <w:pPr>
        <w:spacing w:after="60"/>
        <w:ind w:firstLine="567"/>
        <w:jc w:val="both"/>
      </w:pPr>
      <w:r>
        <w:rPr>
          <w:rFonts w:ascii="Arial" w:cs="Arial" w:eastAsia="Arial" w:hAnsi="Arial"/>
          <w:sz w:val="24"/>
          <w:szCs w:val="24"/>
        </w:rPr>
        <w:t xml:space="preserve">6. Бор-Добо автодорожный</w:t>
      </w:r>
    </w:p>
    <w:p>
      <w:pPr>
        <w:spacing w:after="60"/>
        <w:ind w:firstLine="567"/>
        <w:jc w:val="both"/>
      </w:pPr>
      <w:r>
        <w:rPr>
          <w:rFonts w:ascii="Arial" w:cs="Arial" w:eastAsia="Arial" w:hAnsi="Arial"/>
          <w:sz w:val="24"/>
          <w:szCs w:val="24"/>
        </w:rPr>
        <w:t xml:space="preserve">7. Кызыл-Кия автодорожный</w:t>
      </w:r>
    </w:p>
    <w:p>
      <w:pPr>
        <w:spacing w:after="60"/>
        <w:ind w:firstLine="567"/>
        <w:jc w:val="both"/>
      </w:pPr>
      <w:r>
        <w:rPr>
          <w:rFonts w:ascii="Arial" w:cs="Arial" w:eastAsia="Arial" w:hAnsi="Arial"/>
          <w:sz w:val="24"/>
          <w:szCs w:val="24"/>
        </w:rPr>
        <w:t xml:space="preserve">8. Кара-Багыш автодорожный</w:t>
      </w:r>
    </w:p>
    <w:p>
      <w:pPr>
        <w:spacing w:after="60"/>
        <w:ind w:firstLine="567"/>
        <w:jc w:val="both"/>
      </w:pPr>
      <w:r>
        <w:rPr>
          <w:rFonts w:ascii="Arial" w:cs="Arial" w:eastAsia="Arial" w:hAnsi="Arial"/>
          <w:sz w:val="24"/>
          <w:szCs w:val="24"/>
        </w:rPr>
        <w:t xml:space="preserve">9. Достук автодорожный</w:t>
      </w:r>
    </w:p>
    <w:p>
      <w:pPr>
        <w:spacing w:after="60"/>
        <w:ind w:firstLine="567"/>
        <w:jc w:val="both"/>
      </w:pPr>
      <w:r>
        <w:rPr>
          <w:rFonts w:ascii="Arial" w:cs="Arial" w:eastAsia="Arial" w:hAnsi="Arial"/>
          <w:sz w:val="24"/>
          <w:szCs w:val="24"/>
        </w:rPr>
        <w:t xml:space="preserve">10. Ынтымак автодорожный</w:t>
      </w:r>
    </w:p>
    <w:p>
      <w:pPr>
        <w:spacing w:after="60"/>
        <w:ind w:firstLine="567"/>
        <w:jc w:val="both"/>
      </w:pPr>
      <w:r>
        <w:rPr>
          <w:rFonts w:ascii="Arial" w:cs="Arial" w:eastAsia="Arial" w:hAnsi="Arial"/>
          <w:sz w:val="24"/>
          <w:szCs w:val="24"/>
        </w:rPr>
        <w:t xml:space="preserve">11. Баймак автодорожный</w:t>
      </w:r>
    </w:p>
    <w:p>
      <w:pPr>
        <w:spacing w:after="60"/>
        <w:ind w:firstLine="567"/>
        <w:jc w:val="both"/>
      </w:pPr>
      <w:r>
        <w:rPr>
          <w:rFonts w:ascii="Arial" w:cs="Arial" w:eastAsia="Arial" w:hAnsi="Arial"/>
          <w:sz w:val="24"/>
          <w:szCs w:val="24"/>
        </w:rPr>
        <w:t xml:space="preserve">12. Сейдикум автодорожный</w:t>
      </w:r>
    </w:p>
    <w:p>
      <w:pPr>
        <w:spacing w:after="60"/>
        <w:ind w:firstLine="567"/>
        <w:jc w:val="both"/>
      </w:pPr>
      <w:r>
        <w:rPr>
          <w:rFonts w:ascii="Arial" w:cs="Arial" w:eastAsia="Arial" w:hAnsi="Arial"/>
          <w:sz w:val="24"/>
          <w:szCs w:val="24"/>
        </w:rPr>
        <w:t xml:space="preserve">13. Бек-Абад автодорожный</w:t>
      </w:r>
    </w:p>
    <w:p>
      <w:pPr>
        <w:spacing w:after="60"/>
        <w:ind w:firstLine="567"/>
        <w:jc w:val="both"/>
      </w:pPr>
      <w:r>
        <w:rPr>
          <w:rFonts w:ascii="Arial" w:cs="Arial" w:eastAsia="Arial" w:hAnsi="Arial"/>
          <w:sz w:val="24"/>
          <w:szCs w:val="24"/>
        </w:rPr>
        <w:t xml:space="preserve">14. Сумсар автодорожный</w:t>
      </w:r>
    </w:p>
    <w:p>
      <w:pPr>
        <w:spacing w:after="60"/>
        <w:ind w:firstLine="567"/>
        <w:jc w:val="both"/>
      </w:pPr>
      <w:r>
        <w:rPr>
          <w:rFonts w:ascii="Arial" w:cs="Arial" w:eastAsia="Arial" w:hAnsi="Arial"/>
          <w:sz w:val="24"/>
          <w:szCs w:val="24"/>
        </w:rPr>
        <w:t xml:space="preserve">15. Кенсай автодорожный</w:t>
      </w:r>
    </w:p>
    <w:p>
      <w:pPr>
        <w:spacing w:after="60"/>
        <w:ind w:firstLine="567"/>
        <w:jc w:val="both"/>
      </w:pPr>
      <w:r>
        <w:rPr>
          <w:rFonts w:ascii="Arial" w:cs="Arial" w:eastAsia="Arial" w:hAnsi="Arial"/>
          <w:sz w:val="24"/>
          <w:szCs w:val="24"/>
        </w:rPr>
        <w:t xml:space="preserve">16. Манас аэропорт</w:t>
      </w:r>
    </w:p>
    <w:p>
      <w:pPr>
        <w:spacing w:after="60"/>
        <w:ind w:firstLine="567"/>
        <w:jc w:val="both"/>
      </w:pPr>
      <w:r>
        <w:rPr>
          <w:rFonts w:ascii="Arial" w:cs="Arial" w:eastAsia="Arial" w:hAnsi="Arial"/>
          <w:sz w:val="24"/>
          <w:szCs w:val="24"/>
        </w:rPr>
        <w:t xml:space="preserve">17. Ош аэропорт</w:t>
      </w:r>
    </w:p>
    <w:p>
      <w:pPr>
        <w:spacing w:after="60"/>
        <w:ind w:firstLine="567"/>
        <w:jc w:val="both"/>
      </w:pPr>
      <w:r>
        <w:rPr>
          <w:rFonts w:ascii="Arial" w:cs="Arial" w:eastAsia="Arial" w:hAnsi="Arial"/>
          <w:sz w:val="24"/>
          <w:szCs w:val="24"/>
        </w:rPr>
        <w:t xml:space="preserve">18. Иссык-Куль аэропорт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rr7g6nwuofglxisz_el">
      <w:r>
        <w:rPr>
          <w:rFonts w:ascii="Arial" w:cs="Arial" w:eastAsia="Arial" w:hAnsi="Arial"/>
          <w:color w:val="132D3F"/>
          <w:sz w:val="16"/>
          <w:szCs w:val="16"/>
          <w:u w:val="single"/>
        </w:rPr>
        <w:t xml:space="preserve">dalil.kg/document/157569</w:t>
      </w:r>
    </w:hyperlink>
  </w:p>
  <w:p>
    <w:pPr>
      <w:spacing w:after="0" w:before="40"/>
      <w:jc w:val="center"/>
    </w:pPr>
    <w:hyperlink w:history="1" r:id="rIdyeh2sh0aqwzpamcqtnio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n19m2ohsehrs5rokh1e" Type="http://schemas.openxmlformats.org/officeDocument/2006/relationships/hyperlink" Target="https://dalil.kg/document/157569#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rr7g6nwuofglxisz_el" Type="http://schemas.openxmlformats.org/officeDocument/2006/relationships/hyperlink" Target="https://dalil.kg/document/157569" TargetMode="External"/><Relationship Id="rIdyeh2sh0aqwzpamcqtnio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2026-09-25T13:55:25.508Z</dcterms:created>
  <dcterms:modified xsi:type="dcterms:W3CDTF">2026-09-25T13:55:25.508Z</dcterms:modified>
</cp:coreProperties>
</file>

<file path=docProps/custom.xml><?xml version="1.0" encoding="utf-8"?>
<Properties xmlns="http://schemas.openxmlformats.org/officeDocument/2006/custom-properties" xmlns:vt="http://schemas.openxmlformats.org/officeDocument/2006/docPropsVTypes"/>
</file>