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 декабря 2020 года № 586</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В целях реализации </w:t>
      </w:r>
      <w:hyperlink w:history="1" r:id="rIdglicnvdhfz8bcxvwfg3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kgpfzwd-5fxvywojstx8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от 13 декабря 2019 года № 138, совершенствования системы предоставления нотариальных услуг, в соответствии со статьями </w:t>
      </w:r>
      <w:hyperlink w:history="1" r:id="rIdazhrtxgzphthyjglu2io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efprmeqt2tu5mlg_px2_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obntxezhjqvq300gka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нотариальной деятельности" от 20 апреля 2011 года № 179 следующие изменения:</w:t>
      </w:r>
    </w:p>
    <w:p>
      <w:pPr>
        <w:spacing w:after="60"/>
        <w:ind w:firstLine="567"/>
        <w:jc w:val="both"/>
      </w:pPr>
      <w:r>
        <w:rPr>
          <w:rFonts w:ascii="Arial" w:cs="Arial" w:eastAsia="Arial" w:hAnsi="Arial"/>
          <w:sz w:val="24"/>
          <w:szCs w:val="24"/>
        </w:rPr>
        <w:t xml:space="preserve">в </w:t>
      </w:r>
      <w:hyperlink w:history="1" r:id="rIdi1ohgcnki_qvv0io2dev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dsiwchs-fw4bko1-ww5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1 после слов "</w:t>
      </w:r>
      <w:hyperlink w:history="1" r:id="rId3-szmqtgeo2-srhzhjqo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дополнить словами "</w:t>
      </w:r>
      <w:hyperlink w:history="1" r:id="rId5t1wngioqnleeaa-lhrw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абзац второй после слов "регистрации нотариальных действий" дополнить словами "на бумажном и электронном носителях";</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"В соответствии с пунктом 5 Ставок государственной пошлины, утвержденных </w:t>
      </w:r>
      <w:hyperlink w:history="1" r:id="rId_mgom4ymk_7gj3yzo-ny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2019 года № 159,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Нотариальные действия совершаются при предъявлении всех необходимых документов и уплаты государственной пошлины.</w:t>
      </w:r>
    </w:p>
    <w:p>
      <w:pPr>
        <w:spacing w:after="60"/>
        <w:ind w:firstLine="567"/>
        <w:jc w:val="both"/>
      </w:pPr>
      <w:r>
        <w:rPr>
          <w:rFonts w:ascii="Arial" w:cs="Arial" w:eastAsia="Arial" w:hAnsi="Arial"/>
          <w:sz w:val="24"/>
          <w:szCs w:val="24"/>
        </w:rPr>
        <w:t xml:space="preserve">Государственная пошлина уплачивается в банки (филиалы) и иные финансово-кредитные учреждения, либо путем перечисления с банковского счета плательщика, либо через платежные терминалы.</w:t>
      </w:r>
    </w:p>
    <w:p>
      <w:pPr>
        <w:spacing w:after="60"/>
        <w:ind w:firstLine="567"/>
        <w:jc w:val="both"/>
      </w:pPr>
      <w:r>
        <w:rPr>
          <w:rFonts w:ascii="Arial" w:cs="Arial" w:eastAsia="Arial" w:hAnsi="Arial"/>
          <w:sz w:val="24"/>
          <w:szCs w:val="24"/>
        </w:rPr>
        <w:t xml:space="preserve">Государственная пошлина при обращении к государственному нотариусу уплачивается до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Государственная пошлина при обращении к частному нотариусу для совершения нотариального действия, может уплачиваться самим частным нотариусом, как представителем плательщика.</w:t>
      </w:r>
    </w:p>
    <w:p>
      <w:pPr>
        <w:spacing w:after="60"/>
        <w:ind w:firstLine="567"/>
        <w:jc w:val="both"/>
      </w:pPr>
      <w:r>
        <w:rPr>
          <w:rFonts w:ascii="Arial" w:cs="Arial" w:eastAsia="Arial" w:hAnsi="Arial"/>
          <w:sz w:val="24"/>
          <w:szCs w:val="24"/>
        </w:rPr>
        <w:t xml:space="preserve">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В случае уплаты государственной пошлины через платежные терминалы или перечисления с банковского счета нотариусы дополнительно снимают ксерокопию платежного чека или квитанции (перевода) и приобщают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Государственные и частные нотариусы составляют и предоставляют отчетность по взимаемым государственным пошлинам администраторам в установленном порядке, в соответствии с законодательством о неналоговых доходах.";</w:t>
      </w:r>
    </w:p>
    <w:p>
      <w:pPr>
        <w:spacing w:after="60"/>
        <w:ind w:firstLine="567"/>
        <w:jc w:val="both"/>
      </w:pPr>
      <w:r>
        <w:rPr>
          <w:rFonts w:ascii="Arial" w:cs="Arial" w:eastAsia="Arial" w:hAnsi="Arial"/>
          <w:sz w:val="24"/>
          <w:szCs w:val="24"/>
        </w:rPr>
        <w:t xml:space="preserve">- в абзаце первом пункта 16 слова "ст.141" заменить словами "ст.144";</w:t>
      </w:r>
    </w:p>
    <w:p>
      <w:pPr>
        <w:spacing w:after="60"/>
        <w:ind w:firstLine="567"/>
        <w:jc w:val="both"/>
      </w:pPr>
      <w:r>
        <w:rPr>
          <w:rFonts w:ascii="Arial" w:cs="Arial" w:eastAsia="Arial" w:hAnsi="Arial"/>
          <w:sz w:val="24"/>
          <w:szCs w:val="24"/>
        </w:rPr>
        <w:t xml:space="preserve">- пункт 17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нотариус производит верификацию личности, в том числе с использованием информационной системы "Электронный нотариат" (далее - НС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 пункт 18 дополнить абзацем вторым следующего содержания:</w:t>
      </w:r>
    </w:p>
    <w:p>
      <w:pPr>
        <w:spacing w:after="60"/>
        <w:ind w:firstLine="567"/>
        <w:jc w:val="both"/>
      </w:pPr>
      <w:r>
        <w:rPr>
          <w:rFonts w:ascii="Arial" w:cs="Arial" w:eastAsia="Arial" w:hAnsi="Arial"/>
          <w:sz w:val="24"/>
          <w:szCs w:val="24"/>
        </w:rPr>
        <w:t xml:space="preserve">"Правоспособность юридических лиц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средств массовой информации и/или получения информации от государственных органов через СМЭВ "Тундук".";</w:t>
      </w:r>
    </w:p>
    <w:p>
      <w:pPr>
        <w:spacing w:after="60"/>
        <w:ind w:firstLine="567"/>
        <w:jc w:val="both"/>
      </w:pPr>
      <w:r>
        <w:rPr>
          <w:rFonts w:ascii="Arial" w:cs="Arial" w:eastAsia="Arial" w:hAnsi="Arial"/>
          <w:sz w:val="24"/>
          <w:szCs w:val="24"/>
        </w:rPr>
        <w:t xml:space="preserve">- абзац седьмой пункта 24 изложить в следующей редакции:</w:t>
      </w:r>
    </w:p>
    <w:p>
      <w:pPr>
        <w:spacing w:after="60"/>
        <w:ind w:firstLine="567"/>
        <w:jc w:val="both"/>
      </w:pPr>
      <w:r>
        <w:rPr>
          <w:rFonts w:ascii="Arial" w:cs="Arial" w:eastAsia="Arial" w:hAnsi="Arial"/>
          <w:sz w:val="24"/>
          <w:szCs w:val="24"/>
        </w:rPr>
        <w:t xml:space="preserve">"В удостоверительных надписях при освобождении от уплаты государственной пошлины следует делать ссылку на статью Кодекса Кыргызской Республики о неналоговых доходах, например: при свидетельствовании верности копий документов, необходимых для получения государственных пособий и пенсий указать "Освобожден от уплаты государственной пошлины на основании ч.1 ст 141 Кодекса Кыргызской Республики о неналоговых доходах".";</w:t>
      </w:r>
    </w:p>
    <w:p>
      <w:pPr>
        <w:spacing w:after="60"/>
        <w:ind w:firstLine="567"/>
        <w:jc w:val="both"/>
      </w:pPr>
      <w:r>
        <w:rPr>
          <w:rFonts w:ascii="Arial" w:cs="Arial" w:eastAsia="Arial" w:hAnsi="Arial"/>
          <w:sz w:val="24"/>
          <w:szCs w:val="24"/>
        </w:rPr>
        <w:t xml:space="preserve">- абзац третий пункта 27 изложить в следующей редакции:</w:t>
      </w:r>
    </w:p>
    <w:p>
      <w:pPr>
        <w:spacing w:after="60"/>
        <w:ind w:firstLine="567"/>
        <w:jc w:val="both"/>
      </w:pPr>
      <w:r>
        <w:rPr>
          <w:rFonts w:ascii="Arial" w:cs="Arial" w:eastAsia="Arial" w:hAnsi="Arial"/>
          <w:sz w:val="24"/>
          <w:szCs w:val="24"/>
        </w:rPr>
        <w:t xml:space="preserve">"- не принимают для совершения нотариальных действий документы, если они не соответствуют требованиям законодательства или содержат сведения, порочащие гражданина или иной субъект права, задевающие их честь и достоинство. Также отказывают в совершении нотариального действия, если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в абзаце первом слова "реестре регистрации нотариальных действий" заменить словами "электронном реестре ИС "Электронный нотариат", затем на бумажном носителе";</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"В графе 1 реестра для записи нотариальных действий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в абзаце четырнадцатом слова "ссылка на закон" заменить словами "ссылка на кодекс";</w:t>
      </w:r>
    </w:p>
    <w:p>
      <w:pPr>
        <w:spacing w:after="60"/>
        <w:ind w:firstLine="567"/>
        <w:jc w:val="both"/>
      </w:pPr>
      <w:r>
        <w:rPr>
          <w:rFonts w:ascii="Arial" w:cs="Arial" w:eastAsia="Arial" w:hAnsi="Arial"/>
          <w:sz w:val="24"/>
          <w:szCs w:val="24"/>
        </w:rPr>
        <w:t xml:space="preserve">- пункт 33 после слов "на недвижимое имущество/транспортные средства" дополнить словами ", в том числе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60"/>
        <w:ind w:firstLine="567"/>
        <w:jc w:val="both"/>
      </w:pPr>
      <w:r>
        <w:rPr>
          <w:rFonts w:ascii="Arial" w:cs="Arial" w:eastAsia="Arial" w:hAnsi="Arial"/>
          <w:sz w:val="24"/>
          <w:szCs w:val="24"/>
        </w:rPr>
        <w:t xml:space="preserve">- абзац первый пункта 48 после слов "отчуждение и/или ареста на имущество" дополнить словами ", в том числе путем получения выписки из Единого государственного реестра прав на недвижимое имущество через СМЭВ "Тундук";</w:t>
      </w:r>
    </w:p>
    <w:p>
      <w:pPr>
        <w:spacing w:after="60"/>
        <w:ind w:firstLine="567"/>
        <w:jc w:val="both"/>
      </w:pPr>
      <w:r>
        <w:rPr>
          <w:rFonts w:ascii="Arial" w:cs="Arial" w:eastAsia="Arial" w:hAnsi="Arial"/>
          <w:sz w:val="24"/>
          <w:szCs w:val="24"/>
        </w:rPr>
        <w:t xml:space="preserve">- в абзаце первом пункта 88 слова "(п.4 ст.86)" исключить.</w:t>
      </w:r>
    </w:p>
    <w:p>
      <w:pPr>
        <w:spacing w:after="60"/>
        <w:ind w:firstLine="567"/>
        <w:jc w:val="both"/>
      </w:pPr>
      <w:r>
        <w:rPr>
          <w:rFonts w:ascii="Arial" w:cs="Arial" w:eastAsia="Arial" w:hAnsi="Arial"/>
          <w:sz w:val="24"/>
          <w:szCs w:val="24"/>
        </w:rPr>
        <w:t xml:space="preserve">2. Внести в </w:t>
      </w:r>
      <w:hyperlink w:history="1" r:id="rId6kq9sgo7rmsiowwop4p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pw0fdpz7-ccv9vktxsl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от 15 июля 2013 года № 412 следующие изменения:</w:t>
      </w:r>
    </w:p>
    <w:p>
      <w:pPr>
        <w:spacing w:after="60"/>
        <w:ind w:firstLine="567"/>
        <w:jc w:val="both"/>
      </w:pPr>
      <w:r>
        <w:rPr>
          <w:rFonts w:ascii="Arial" w:cs="Arial" w:eastAsia="Arial" w:hAnsi="Arial"/>
          <w:sz w:val="24"/>
          <w:szCs w:val="24"/>
        </w:rPr>
        <w:t xml:space="preserve">в </w:t>
      </w:r>
      <w:hyperlink w:history="1" r:id="rIdgmsophx9lbzdqhx2xa6g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утвержденной вышеуказанным </w:t>
      </w:r>
      <w:hyperlink w:history="1" r:id="rIdm5-su9exfgfspmfaxt8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8 дополнить предложением вторым следующего содержания:</w:t>
      </w:r>
    </w:p>
    <w:p>
      <w:pPr>
        <w:spacing w:after="60"/>
        <w:ind w:firstLine="567"/>
        <w:jc w:val="both"/>
      </w:pPr>
      <w:r>
        <w:rPr>
          <w:rFonts w:ascii="Arial" w:cs="Arial" w:eastAsia="Arial" w:hAnsi="Arial"/>
          <w:sz w:val="24"/>
          <w:szCs w:val="24"/>
        </w:rPr>
        <w:t xml:space="preserve">"Также консул отказывает в совершении нотариального действия, если информационная система "Электронный нотариат" (далее -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 в абзаце втором пункта 9 слова "реестре нотариальных действий" заменить словами "реестре для регистрации нотариальных действий на бумажном и электронном носителях";</w:t>
      </w:r>
    </w:p>
    <w:p>
      <w:pPr>
        <w:spacing w:after="60"/>
        <w:ind w:firstLine="567"/>
        <w:jc w:val="both"/>
      </w:pPr>
      <w:r>
        <w:rPr>
          <w:rFonts w:ascii="Arial" w:cs="Arial" w:eastAsia="Arial" w:hAnsi="Arial"/>
          <w:sz w:val="24"/>
          <w:szCs w:val="24"/>
        </w:rPr>
        <w:t xml:space="preserve">- абзац первый пункта 10 изложить в следующей редакции:</w:t>
      </w:r>
    </w:p>
    <w:p>
      <w:pPr>
        <w:spacing w:after="60"/>
        <w:ind w:firstLine="567"/>
        <w:jc w:val="both"/>
      </w:pPr>
      <w:r>
        <w:rPr>
          <w:rFonts w:ascii="Arial" w:cs="Arial" w:eastAsia="Arial" w:hAnsi="Arial"/>
          <w:sz w:val="24"/>
          <w:szCs w:val="24"/>
        </w:rPr>
        <w:t xml:space="preserve">"10. Нотариальные действия совершаются в день предъявления всех необходимых для этого документов, уплаты средств за оказание консульских услуг. Средства за оказание консульских услуг уплачиваются в банки (филиалы) и иные финансово-кредитные учреждения, либо путем перечисления с банковского счета плательщика, либо через платежные терминалы, установленные на территории заграничных учреждений Кыргызской Республики. В случае уплаты средств за оказание консульских услуг через платежные терминалы или перечисления с банковского счета консул дополнительно снимает ксерокопию платежного чека или квитанции (перевода) и приобщает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 пункт 11 дополнить абзацем восьмым следующего содержания:</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консул производит верификацию личности, в том числе, с использованием ИС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 пункт 12 дополнить абзацем вторым следующего содержания:</w:t>
      </w:r>
    </w:p>
    <w:p>
      <w:pPr>
        <w:spacing w:after="60"/>
        <w:ind w:firstLine="567"/>
        <w:jc w:val="both"/>
      </w:pPr>
      <w:r>
        <w:rPr>
          <w:rFonts w:ascii="Arial" w:cs="Arial" w:eastAsia="Arial" w:hAnsi="Arial"/>
          <w:sz w:val="24"/>
          <w:szCs w:val="24"/>
        </w:rPr>
        <w:t xml:space="preserve">"Правоспособность юридических лиц Кыргызской Республики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СМИ и/или получения информации от государственных органов через СМЭВ "Тундук".";</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в абзаце первом слово "реестре" заменить словами "электронном реестре ИС "Электронный нотариат", затем на бумажном носителе";</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"Нумерация в реестре с начала каждого календарного года ведется с первого порядкового номера,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 пункт 55 после слов "Министерства иностранных дел Кыргызской Республики" дополнить словами ", лицо проверяет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bgqueglswc5lu6fjxi">
      <w:r>
        <w:rPr>
          <w:rFonts w:ascii="Arial" w:cs="Arial" w:eastAsia="Arial" w:hAnsi="Arial"/>
          <w:color w:val="132D3F"/>
          <w:sz w:val="16"/>
          <w:szCs w:val="16"/>
          <w:u w:val="single"/>
        </w:rPr>
        <w:t xml:space="preserve">dalil.kg/document/157639</w:t>
      </w:r>
    </w:hyperlink>
  </w:p>
  <w:p>
    <w:pPr>
      <w:spacing w:after="0" w:before="40"/>
      <w:jc w:val="center"/>
    </w:pPr>
    <w:hyperlink w:history="1" r:id="rIdrtqpixxqdzb1jyhfw52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icnvdhfz8bcxvwfg3la" Type="http://schemas.openxmlformats.org/officeDocument/2006/relationships/hyperlink" Target="https://dalil.kg/document/111986" TargetMode="External"/><Relationship Id="rIdkgpfzwd-5fxvywojstx8p" Type="http://schemas.openxmlformats.org/officeDocument/2006/relationships/hyperlink" Target="https://dalil.kg/document/111820" TargetMode="External"/><Relationship Id="rIdazhrtxgzphthyjglu2iox" Type="http://schemas.openxmlformats.org/officeDocument/2006/relationships/hyperlink" Target="https://dalil.kg/document/203685#st_10" TargetMode="External"/><Relationship Id="rIdefprmeqt2tu5mlg_px2_d" Type="http://schemas.openxmlformats.org/officeDocument/2006/relationships/hyperlink" Target="https://dalil.kg/document/203685#st_17" TargetMode="External"/><Relationship Id="rIdyobntxezhjqvq300gkaof" Type="http://schemas.openxmlformats.org/officeDocument/2006/relationships/hyperlink" Target="https://dalil.kg/document/95037" TargetMode="External"/><Relationship Id="rIdi1ohgcnki_qvv0io2devh" Type="http://schemas.openxmlformats.org/officeDocument/2006/relationships/hyperlink" Target="https://dalil.kg/document/95038" TargetMode="External"/><Relationship Id="rIddsiwchs-fw4bko1-ww58h" Type="http://schemas.openxmlformats.org/officeDocument/2006/relationships/hyperlink" Target="https://dalil.kg/document/95037" TargetMode="External"/><Relationship Id="rId3-szmqtgeo2-srhzhjqov" Type="http://schemas.openxmlformats.org/officeDocument/2006/relationships/hyperlink" Target="https://dalil.kg/document/202913" TargetMode="External"/><Relationship Id="rId5t1wngioqnleeaa-lhrwt" Type="http://schemas.openxmlformats.org/officeDocument/2006/relationships/hyperlink" Target="https://dalil.kg/document/111820" TargetMode="External"/><Relationship Id="rId_mgom4ymk_7gj3yzo-nyv" Type="http://schemas.openxmlformats.org/officeDocument/2006/relationships/hyperlink" Target="https://dalil.kg/document/13491" TargetMode="External"/><Relationship Id="rId6kq9sgo7rmsiowwop4p7w" Type="http://schemas.openxmlformats.org/officeDocument/2006/relationships/hyperlink" Target="https://dalil.kg/document/94593" TargetMode="External"/><Relationship Id="rIdfpw0fdpz7-ccv9vktxslf" Type="http://schemas.openxmlformats.org/officeDocument/2006/relationships/hyperlink" Target="https://dalil.kg/document/94594" TargetMode="External"/><Relationship Id="rIdgmsophx9lbzdqhx2xa6gw" Type="http://schemas.openxmlformats.org/officeDocument/2006/relationships/hyperlink" Target="https://dalil.kg/document/94594" TargetMode="External"/><Relationship Id="rIdm5-su9exfgfspmfaxt8m0" Type="http://schemas.openxmlformats.org/officeDocument/2006/relationships/hyperlink" Target="https://dalil.kg/document/9459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bgqueglswc5lu6fjxi" Type="http://schemas.openxmlformats.org/officeDocument/2006/relationships/hyperlink" Target="https://dalil.kg/document/157639" TargetMode="External"/><Relationship Id="rIdrtqpixxqdzb1jyhfw52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2026-09-23T17:59:53.668Z</dcterms:created>
  <dcterms:modified xsi:type="dcterms:W3CDTF">2026-09-23T17:59:53.668Z</dcterms:modified>
</cp:coreProperties>
</file>

<file path=docProps/custom.xml><?xml version="1.0" encoding="utf-8"?>
<Properties xmlns="http://schemas.openxmlformats.org/officeDocument/2006/custom-properties" xmlns:vt="http://schemas.openxmlformats.org/officeDocument/2006/docPropsVTypes"/>
</file>