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2019 года № 689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политических партиях"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x6i3zqfexwg93hcsm8z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kzlqt75oxdzubc_u69t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Кыргызском Республики "О политических партиях", инициированный депутатами Жогорку Кенеша Кыргызской Республики Алтыбаевой А.Т., Алимбековым Н.К., Бакировым М.И.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
 постановлением Правительства Кыргызской Республики
 от 17 декабря 2019 года № 689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Правительства Кыргызской Республики на проект Закона Кыргызской Республики "О политических партиях"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hyperlink w:history="1" r:id="rId9kpnc_crikdugc5rukm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политических партиях" (далее - законопроект), инициированный депутатами Жогорку Кенеша Кыргызской Республики Алтыбаевой А.Т., Алимбековым Н.К., Бакировым М.И.,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Частью 2 статьи 1 законопроекта устанавливается, что граждане Кыргызской Республики имеют равные права на добровольной основе объединяться в политические партии, равноправно участвовать в ее деятельности в соответствии с законодательством Кыргызской Республики и уставом политической партии, а также имеют право в любое время выйти из политической партии по собственному желанию.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понятие "законодательство" является обобщенным понятием и носит расплывчатый характер, предоставляющий возможность широкой трактовки, поскольку нормативные правовые акты (законодательство) включают в себя все нормативные правовые акты Кыргызской Республики, предусмотренные частью 1 </w:t>
      </w:r>
      <w:hyperlink w:history="1" r:id="rIdquyvukt0nrvxws19p9b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пункту 78 </w:t>
      </w:r>
      <w:hyperlink w:history="1" r:id="rId2osrplcyu7rw3s3z-jp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khn_x_hbr4ni8cuvywy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5389-V, не допускаются бланкетные ссылки на законодательство в целом.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77 вышеуказанной </w:t>
      </w:r>
      <w:hyperlink w:history="1" r:id="rIdycwmvqzl4ghb52j6yvi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бланкетные предписания в законопроекте могут отсылать на отрасль законодательства, вид законодательного акта, сферу регулирования, на определенные правила.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необходимо проанализировать нормативные правовые акты, на которые идет ссылка в законопроекте, и указать на их отрасль или сферу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Аналогичные замечания по части 4 статьи 6, части 5 статьи 7, части 4 статьи 9, абзацам пятому и шестому части 1 статьи 11, части 4 статьи 11, части 1 статьи 12, части 2 статьи 13, абзацу шестому части 1 статьи 14, части 1 статьи 15, абзацу девятому части 4 статьи 15, части 1 статьи 16, части 6 статьи 17, частям 1 и 2 статьи 18, абзацу второму части 3 статьи 18, частям 2 и 4 статьи 20 законопроекта.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Статьей 2 законопроекта предлагается установить, что политическая партия - это добровольное объединение граждан Кыргызской Республики, созданное в целях участия в политической жизни общества, выражения политической воли объединившихся граждан, в управлении государственными делами, в том числе выдвижения кандидатур на выборах в органы государственной власти 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абзацем четвертым части 1 статьи 16 законопроекта, в перечне прав и обязанностей политических партий предусмотрено также право принимать участие "в выборах Президента, в Жогорку Кенеш и в другие выборные государственные и муниципальные органы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3qmwgbio0b3uldrlpcu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 исполнительный орган местного самоуправления - орган, созданный для обеспечения подготовки и исполнения решений представительного органа местного самоуправления. Исполнительными органами местного самоуправления являются мэрии городов, айыл окмоту.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dzfysgxkexpero1jfps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"политические партии содействуют выражению политического волеизъявления граждан, принимают участие в выборах депутатов Жогорку Кенеша, Президента и органов местного самоуправления".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принимая во внимание </w:t>
      </w:r>
      <w:hyperlink w:history="1" r:id="rIdxge8yie49q9kfp8274l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устанавливающую возможность участия политических партий в выборах Жогорку Кенеша Кыргызской Республики и Президента Кыргызской Республики, необходимо уточнить, о каких других выборных государственных органах идет речь. Также следует отметить, что в системе законодательства Кыргызской Республики отсутствует понятие "муниципальный орган".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статье 6 законопроекта отмечаем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изложения текста в соответствии с требованиями нормотворческой техники часть 5 предлагается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Регистрация политической партии осуществляется в соответствии с законодательством в сфере государственной регистрации юридических лиц.".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статьи 6 законопроекта устанавливает возможность обжалования решения об отказе в регистрации политической партии в соответствии с законодательством об административных процедурах.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заметить, что данные положения уже предусмотрены в </w:t>
      </w:r>
      <w:r>
        <w:rPr>
          <w:rFonts w:ascii="Arial" w:cs="Arial" w:eastAsia="Arial" w:hAnsi="Arial"/>
          <w:sz w:val="24"/>
          <w:szCs w:val="24"/>
        </w:rPr>
        <w:t xml:space="preserve">статье 21</w:t>
      </w:r>
      <w:hyperlink w:history="1" r:id="rIdo4noxsxllvjeuu7n1va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вопросы обжалования актов государственных органов отрегулированы </w:t>
      </w:r>
      <w:hyperlink w:history="1" r:id="rIdvgttsfonizulil6iueh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процедурах", часть 6 статьи 6 проекта Закона предлагаем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информированности населения о деятельности политической партии и прозрачности финансовой отчетности, а также своевременного приема и реагирования на обращения граждан, принимая во внимание, что основным направлением в 2019 году является продвижение цифровых основ развития страны, считаем целесообразным в статье 6 законопроекта установить норму, предусматривающую создание и функционирование официального сайта и электронной почты партии, после государственной регистрации политической партии.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статье 7 законопроекта отмечаем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xtlc7medtybml-0mjdf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политические партии, профессиональные союзы и другие общественные объединения могут создаваться гражданами на основе свободного волеизъявления и общности интересов для реализации и защиты своих прав и свобод, удовлетворения политических, экономических, социальных, трудовых, культурных и иных интересов.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часть 1 законопроекта целесообразно дополнить нормой о том, что не могут быть членами политической партии иностранные граждане и лица без гражданства.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4 предлагается установить, что члены политической парши вправе выйти из партии в любое время по собственному желанию на основе письменного заявления или публичного объявления.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законопроектом не предусмотрен механизм публичного объявления о выходе из партии.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случае публичного объявления выхода из партии, без осуществления регистрации/фиксации в уполномоченном органе партии, в последующем могут возникнуть ситуации, противоречащие части 3 статьи 7 законопроекта, где установлено, что гражданин Кыргызской Республики может быть членом только одной политической партии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предлагаем пересмотреть положения части 4 статьи 7, с учетом изложенного.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этим предлагаем предусмотреть отдельную норму, устанавливающую порядок и основания прекращения членства в партии, в том числе в связи со смертью члена партии, приемом на военную службу.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статье 8 законопроекта отмечаем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Указанной статьей предлагается определить, что наименование политической партии должно содержать слова "политическая партия" или "партия".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устанавливается, что наименование политической партии, ее сокращенное название и ее символы должны быть отличными от наименования и символов других политических партий, зарегистрированных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в Гражданский </w:t>
      </w:r>
      <w:hyperlink w:history="1" r:id="rId44p2cma5somzf-ecpzz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внесено изменение в части наименований юридического лица, филиала и представительств.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</w:t>
      </w:r>
      <w:r>
        <w:rPr>
          <w:rFonts w:ascii="Arial" w:cs="Arial" w:eastAsia="Arial" w:hAnsi="Arial"/>
          <w:sz w:val="24"/>
          <w:szCs w:val="24"/>
        </w:rPr>
        <w:t xml:space="preserve">статьи 1103-1 </w:t>
      </w:r>
      <w:r>
        <w:rPr>
          <w:rFonts w:ascii="Arial" w:cs="Arial" w:eastAsia="Arial" w:hAnsi="Arial"/>
          <w:sz w:val="24"/>
          <w:szCs w:val="24"/>
        </w:rPr>
        <w:t xml:space="preserve">Гражданского </w:t>
      </w:r>
      <w:hyperlink w:history="1" r:id="rIdlcd6xoa5za--zngdmu6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 фирменным наименованием понимается полное наименование юридического лица, под которым оно осуществляет свою деятельность и которое отличает его от другого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3 </w:t>
      </w:r>
      <w:r>
        <w:rPr>
          <w:rFonts w:ascii="Arial" w:cs="Arial" w:eastAsia="Arial" w:hAnsi="Arial"/>
          <w:sz w:val="24"/>
          <w:szCs w:val="24"/>
        </w:rPr>
        <w:t xml:space="preserve">статьи 1103-1</w:t>
      </w:r>
      <w:r>
        <w:rPr>
          <w:rFonts w:ascii="Arial" w:cs="Arial" w:eastAsia="Arial" w:hAnsi="Arial"/>
          <w:sz w:val="24"/>
          <w:szCs w:val="24"/>
        </w:rPr>
        <w:t xml:space="preserve">Гражданского кодекса Кыргызской Республики определено, что "фирменное наименование юридического лица должно содержать указание на его организационно-правовую форму и собственно наименование юридического лица, которое может состоять не только из слов, обозначающих род деятельности".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3 </w:t>
      </w:r>
      <w:r>
        <w:rPr>
          <w:rFonts w:ascii="Arial" w:cs="Arial" w:eastAsia="Arial" w:hAnsi="Arial"/>
          <w:sz w:val="24"/>
          <w:szCs w:val="24"/>
        </w:rPr>
        <w:t xml:space="preserve">статьи 85</w:t>
      </w:r>
      <w:r>
        <w:rPr>
          <w:rFonts w:ascii="Arial" w:cs="Arial" w:eastAsia="Arial" w:hAnsi="Arial"/>
          <w:sz w:val="24"/>
          <w:szCs w:val="24"/>
        </w:rPr>
        <w:t xml:space="preserve"> указанного кодекса, политическая партия является отдельной организационной формой.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предлагаем в части 1 статьи 8 законопроекта слова "или партия"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слово "наименование" в названии статьи, а также в самой статье слова "наименование" и "название" предлагаем заменить словами "фирменное наименование" в соответствующих падежах.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Аналогичное замечание по абзацу второму части 2 статьи 9 законопроекта.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в частях 4 и 5 слова "политическая партия" и "партия" предлагаем изложить в идентичной редакции.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статье 9 законопроекта сообщаем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Абзацем восьмым части 2 предусматривается, что устав должен содержать положение о местонахождении руководящего и исполнительных органов политических партий.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в соответствии со </w:t>
      </w:r>
      <w:hyperlink w:history="1" r:id="rIdtmejbsay0fzpdscb_4-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регистрации юридических лиц, филиалов (представительств)" юридическое лицо, филиал (представительство) обязаны в течение 30 календарных дней с момента принятия решения уведомить регистрирующий орган об изменении состава руководящего органа, руководителя и местонахождения (юридического адреса).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вышеуказанных данных не влечет государственной перерегистрации юридического лица, филиала (представительства). Вместе с тем, в регистрирующий орган представляется соответствующее уведомление за подписью руководителя юридического лица, филиала (представительства).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предлагаемой редакции изменение местонахождения руководящего и исполнительного органа политической партии влечет необходимость внесения изменений в устав политических партий, которые повлекут за собой государственную перерегистрацию в соответствии со статьей 12 указанного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считаем целесообразным исключить вышеуказанный абзац.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5 предлагается установить, что политическая партия создает свою программу, определяющую ее принципы деятельности, цели и задачи создания.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частью 1 статьи 7 законопроекта предусмотрено, что в члены партии могут входить дееспособные граждане Кыргызской Республики, согласные с ее уставом и программой, которая рассчитана на неоднократное применение.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рекомендуем слово "создания" заменить словами "политических партий".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4 статьи 10 законопроекта к исключительной компетенции съезда политической партии относятся принятие устава и программы политической партии, внесение в них изменений и дополнений.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дублированием указанных положений, следует часть 7 статьи 9 законопроекта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статье 10 законопроекта сообщаем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Абзацем восьмым части 4 предлагается к компетенции съезда политической партии отнести вопросы разработки списка кандидатов на выборные должности. Предлагаем данные положения дополнить нормами относительно утверждения списка кандидатов.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того, что абзацем пятым части 4 предусмотрен порядок избрания и отзыва руководящих, исполнительных, контрольно-ревизионных и иных органов политической партии, абзац шестой части 4 предлагаем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 как частью 4 устанавливаются исключительная компетенция съезда политической партии, абзац одиннадцатый предлагаем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иные вопросы, не отнесенные к исключительной компетенции других органов управления партии.".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статье 11 законопроекта следует отметить, что частью 3 устанавливается общий размер пожертвований, полученных политической партией, не превышающий 500 расчетных показателей от каждого гражданина и 1000 расчетных показателей от юридического лица в течение 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5 указанной статьи политические партии могут размещать денежные средства только на счетах в коммерческих банках и иных финансово-кредитных учреждениях, зарегистрированных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не предусматривает механизмов, позволяющих разграничить денежные поступления в виде пожертвований и членских взносов.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чего, предлагаем в части 5 установить, что размещение денежных средств должно осуществляться только на одном счете одного из коммерческих банков, иных финансово-кредитных организаций, зарегистрированных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 части 8 статьи 11 законопроекта предлагаем слова "в коммерческих банках" заменить словами "в коммерческих банках и иных финансово-кредитных учреждениях, зарегистрированных на территории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обращаем внимание, что в законопроекте отсутствует механизм реализации излишне поступивших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статье 13 законопроекта отмечаем, что частью 2 устанавливается, что партия в предусмотренном законодательством порядке создает предприятия и организации, обладающие правами юридического лица, лишь в целях выполнения их уставных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создание предприятий и организаций, обладающих правами юридического лица, является правом, а не обязанностью политической партии, предлагаем слово "создают" заменить словами "могут создавать".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Статьей 14 законопроекта предусматривается возможность и случаи, когда политическая партия может получить финансирование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согласно </w:t>
      </w:r>
      <w:hyperlink w:history="1" r:id="rIdwr15gsqzrq2e6owv0jg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(далее - Бюджетный кодекс) республиканский и местные бюджеты образуют государственный бюджет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3bh4dqbk0ohx_6-ytza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qyierywpftqng7envm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вышеуказанного Кодекса, республиканский бюджет - это совокупность денежных средств, предназначенных для финансового обеспечения задач и функций государственных органов, подведомственных им бюджетных учреждений; местный бюджет - бюджет местного сообщества айылного аймака и города, формирование, утверждение, исполнение и контроль которого осуществляют органы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0zfy5ewnrycy54lvww0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расходами республиканского и местного бюджетов являются денежные средства, предназначенные для покрытия расходных обязательств, в соответствии с разграничением полномочий государственных органов и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iv5pechwzrwtgc5qr45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49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расходные обязательства - обязательства Правительства (органов местного самоуправления), возникающие при выполнении государственными органами (органами местного самоуправления) функций и полномочий, осуществляемых за счет средств соответствующего бюджета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py-pyxds4rluvndskgg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50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расходы из республиканского бюджета осуществляются на мероприятия, имеющие общегосударственное значение, ответственность по которым полностью возлагается на Правительство через соответствующие государственные органы управления, включая расходы, предусмотренные законодательством Кыргызской Республики. В данную категорию включаются расходы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государственные услуги общего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оборону;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общественный порядок и безопасность: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экономические вопросы;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охрану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жилищные и коммунальные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здравоохранение;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отдых, культуру;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социальную защиту.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бюджетным законодательством Кыргызской Республики не предусмотрена возможность финансирования политических партий за счет средств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предлагаем статью 14 законопроекта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Аналогичные замечания по абзацу пятому части 1 статьи 11, части 8 статьи 15, части 4 статьи 17, части 3 статьи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целях технически верного восприятия часть 2 статьи 15 законопроекта предлагаем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Ежегодно, до 1 апреля года, следующего за отчетным периодом, политические партии должны опубликовать на своем официальном сайте и/или в средствах массовой информации годовой финансовый отчет за предыдущий год.".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абзацу второму части 4 статьи 15 уполномоченный орган разрабатывает форму ежегодной отчетности. Вместе с тем, в законопроекте не указано, кем утверждается обозначенная форма.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 статье 16 законопроекта отмечаем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указанной статьи предлагаем дополнить нормой, обязывающей политическую партию надлежаще оформлять трудовые отношения с временными работниками (агитаторы, другие работники, привлекаемые для работы в партии в период предвыборной компании) для выплаты заработной платы, подоходного налога и социальных отчислений, а также уплаты налоговых сборов организациями, оказывающими политическим партиям услуги в период агитации.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части 3 данной статьи предлагаем конкретизировать нормы о том, а какой государственный орган предоставляются сведения о количестве выдвинутых и зарегистрированных кандидатов партий.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статье 17 законопроекта отмечаем, что часть 2 устанавливает за уполномоченным государственным органом по регистрации юридических лиц полномочие по осуществлению контроля соответствия деятельности политических партий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hdmejqexoso2z80ezx5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государство, его органы, органы местного самоуправления и их должностные лица не могут выходить за рамки полномочий, определенных </w:t>
      </w:r>
      <w:hyperlink w:history="1" r:id="rIdljv0ff_spimmahfp_td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tb5pumnugeeelm7fd38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6hpu3mjsccv_nf_bqs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Правительство, исходя из полномочий, указанных в данном конституционном Законе, распределяет функции по их реализации между министерствами, государственными комитетами, административными ведомствами и местными государственными администрациями, путем утверждения положений о 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vpzn_tsdhzttdzkydp9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утвержденному </w:t>
      </w:r>
      <w:hyperlink w:history="1" r:id="rId6vbqgk0jqgpwpl8wq_l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декабря 2009 года № 764, Министерство юстиции Кыргызской Республики обеспечивает, в том числе функции по обеспечения регистрации в пределах предоставленных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Министерство юстиции Кыргызской Республики может осуществлять контроль соответствия учредительных документов законодательству Кыргызской Республики при регистрации (перерегистрации) политических партий, считаем необходимым в законопроекте установить норму, предусматривающую закрепление за Министерством юстиции Кыргызской Республики функции контроля соответствия деятельности политических партий законодательству Кыргызской Республики исключительно на стадии регистрации (перерегистрации) политических партий.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функция контроля соответствия деятельности политических партий законодательству Кыргызской Республики предполагает осуществление активных проверочных действий в отношении политических партий после их государственной регистрации в органах юстиции. По результатам этих проверок к политическим партиям могут быть применены меры принудительного характера (внесение обязательных к исполнению предписаний, привлечение лиц к ответственности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Министерство юстиции Кыргызской Республики не уполномочено вносить какие-либо предписания, привлекать к ответственности лиц, допустивших нарушение законодательства, тем более, не осуществляет какие-либо документальные или выездные проверки деятельности политических партий.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отмечаем, что формулировка "осуществление контроля соответствия деятельности политической партии законодательству Кыргызской Республики" является широкой, поскольку термин "законодательство" включает в себя весь массив нормативных правовых актов Кыргызской Республики, и возложение данной функции на Министерство юстиции Кыргызской Республики может противоречить отдельным нормативным правовым актам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в соответствии со </w:t>
      </w:r>
      <w:hyperlink w:history="1" r:id="rIdnegrtmqeeq5jpykeoqe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50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налоговый контроль осуществляется органом налоговой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согласно </w:t>
      </w:r>
      <w:hyperlink w:history="1" r:id="rIdyacunxrnhu4gfkocoo8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Социальном фонде Кыргызской Республики" Социальный фонд Кыргызской Республики является исполнительным органом системы государственного социального страхования и пенсионного обеспечения в Кыргызской Республике, проводящим государственную политику и осуществляющим управление в сфере государственного социального страхования и пенсионного обеспечения, действующим на принципах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отмечаем, что в случае наделения Министерства юстиции Кыргызской Республики дополнительными функциями, для полноценной реализации вышеуказанных функций потребуется увеличение штатной численности.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следует отметить, что согласно </w:t>
      </w:r>
      <w:hyperlink w:history="1" r:id="rIdf4tgkgqifjxp2jb4hfr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проекты законов об изменении финансовых обязательств государства, об увеличении расходов бюджета, финансируемых из республиканского бюджета, либо о сокращении его ресурсов принимаются только с согласия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</w:t>
      </w:r>
      <w:hyperlink w:history="1" r:id="rIddxjxpftjz0ivvvbdquw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проекты законов, предусматривающие увеличение расходов, покрываемых за счет государственного бюджета, могут быть приняты Жогорку Кенешем после определения Правительством источника финансирования.</w:t>
      </w:r>
    </w:p>
    <w:p>
      <w:pPr>
        <w:spacing w:after="60"/>
        <w:ind w:firstLine="567"/>
        <w:jc w:val="both"/>
      </w:pPr>
      <w:hyperlink w:history="1" r:id="rIdsu96ax4mrmpnhm2dymj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моратория на увеличение штатной численности государственных органов" от 25 июля 2016 года № 414 установлен мораторий на увеличение предельной штатной численности действующих министерств, государственных комитетов, административных ведомств, организаций, находящихся в ведении Правительства Кыргызской Республики, аппаратов полномочных представителей Правительства Кыргызской Республики в областях, местных государственных администраций Кыргызской Республики на 2017-2019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республиканском бюджете Кыргызской Республики на 2020 год не предусматривается финансирование на увеличение штатной численности Министерства юстиции Кыргызской Республики, в связи с возложением дополнительных функций, указанных в законопроекте.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 часть 2 статьи 17, часть 1 статьи 18, статью 19, часть 4 статьи 20 законопроекта следует пересмотреть.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частью 6 устанавливается, что в случае несогласия с действиями, решениями уполномоченных органов государственной власти, политическая партия вправе обратиться в судебные органы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mdviue4_sftnd9pm6be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основах административной деятельности и административных процедурах" административный акт, действие или бездействие административного органа обжалуются в административном (досудебном) порядке, а в последующем - в судебном порядке, за исключением случаев, предусмотренных статьей 44 и частью 3 статьи 57 вышеуказанного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вышеуказанную часть предлагаем привести в соответствие с указанным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статье 20 законопроекта отмечаем, что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92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rqfy3yc3mlirrcv75cz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реорганизация юридического лица путем присоединения к нему другого юридического лица влечет прекращение деятельности присоединяемого юридического лица. В этой связи часть 1 статьи 20 законопроекта предлагаем после слов "путем ликвидации" дополнить словами "или реорганизации".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части 4 статьи 20 законопроекта заявление о принудительной ликвидации политической партии вносится в суд уполномоченным органом по регистрации юридических лиц в соответствии с основаниями, установленными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96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0yfos1g4mt6uns3jjrq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юридическое лицо может быть ликвидировано по решению суда в случае осуществления деятельности без надлежащего разрешения (лицензии) либо деятельности, запрещенной законом, либо с иными неоднократными или грубыми нарушениями законодательства, либо при систематическом осуществлении деятельности, противоречащей уставным целям юридического лица, в случае отзыва лицензии у банков, финансово-кредитных организаций или учреждений, для которых осуществление операций, установленных в лицензии, является единственным разрешенным видом деятельности, а также в иных случаях, предусмотренных Гражданским кодексом.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согласно </w:t>
      </w:r>
      <w:hyperlink w:history="1" r:id="rIdtessjn7l0gx646yguvt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регистрации юридических лиц, филиалов (представительств)" налоговый орган и (или) орган Социального фонда вправе обратиться в суд с заявлением о принудительной ликвидации юридического лица в случае непредоставления им ежемесячных отчетов в налоговый орган и (или) орган Социального фонда в течение непрерывных двух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суда о принудительной ликвидации юридического лица, вступившее в установленном порядке в законную силу, является основанием для издания регистрирующим органом приказа о регистрации прекращения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 действующем законодательстве Кыргызской Республики предусмотрены и другие основания для ликвидации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Часть 1 статьи 21 проекта необходимо привести в соответствие с требованиями главы 6 </w:t>
      </w:r>
      <w:hyperlink w:history="1" r:id="rIdudebkzhmbw-_wdi58vj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x4-mmfknmgtkp0bqref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считает, что проект Закона требует доработки в соответствии с предложениями, изложенными выше.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o21ihfqed3nkfthmc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dalil.kg/document/157740</w:t>
      </w:r>
    </w:hyperlink>
  </w:p>
  <w:p>
    <w:pPr>
      <w:spacing w:after="0" w:before="40"/>
      <w:jc w:val="center"/>
    </w:pPr>
    <w:hyperlink w:history="1" r:id="rId-zvd2rrwljyo5b-el8d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6i3zqfexwg93hcsm8zby" Type="http://schemas.openxmlformats.org/officeDocument/2006/relationships/hyperlink" Target="https://dalil.kg/document/203685#st_31" TargetMode="External"/><Relationship Id="rIdkzlqt75oxdzubc_u69tb-" Type="http://schemas.openxmlformats.org/officeDocument/2006/relationships/hyperlink" Target="https://dalil.kg/document/157740#pr" TargetMode="External"/><Relationship Id="rId9kpnc_crikdugc5rukm00" Type="http://schemas.openxmlformats.org/officeDocument/2006/relationships/hyperlink" Target="https://dalil.kg/document/203685#st_31" TargetMode="External"/><Relationship Id="rIdquyvukt0nrvxws19p9b7s" Type="http://schemas.openxmlformats.org/officeDocument/2006/relationships/hyperlink" Target="https://dalil.kg/document/202591#st_6" TargetMode="External"/><Relationship Id="rId2osrplcyu7rw3s3z-jpyc" Type="http://schemas.openxmlformats.org/officeDocument/2006/relationships/hyperlink" Target="https://dalil.kg/document/76491" TargetMode="External"/><Relationship Id="rIdkhn_x_hbr4ni8cuvywyzr" Type="http://schemas.openxmlformats.org/officeDocument/2006/relationships/hyperlink" Target="https://dalil.kg/document/76490" TargetMode="External"/><Relationship Id="rIdycwmvqzl4ghb52j6yvisq" Type="http://schemas.openxmlformats.org/officeDocument/2006/relationships/hyperlink" Target="https://dalil.kg/document/76491" TargetMode="External"/><Relationship Id="rId3qmwgbio0b3uldrlpcu_h" Type="http://schemas.openxmlformats.org/officeDocument/2006/relationships/hyperlink" Target="https://dalil.kg/document/203102#st_2" TargetMode="External"/><Relationship Id="rIddzfysgxkexpero1jfpsbn" Type="http://schemas.openxmlformats.org/officeDocument/2006/relationships/hyperlink" Target="https://dalil.kg/document/202913#st_4" TargetMode="External"/><Relationship Id="rIdxge8yie49q9kfp8274l79" Type="http://schemas.openxmlformats.org/officeDocument/2006/relationships/hyperlink" Target="https://dalil.kg/document/202913#st_4" TargetMode="External"/><Relationship Id="rIdo4noxsxllvjeuu7n1vajo" Type="http://schemas.openxmlformats.org/officeDocument/2006/relationships/hyperlink" Target="https://dalil.kg/document/202621" TargetMode="External"/><Relationship Id="rIdvgttsfonizulil6iuehm6" Type="http://schemas.openxmlformats.org/officeDocument/2006/relationships/hyperlink" Target="https://dalil.kg/document/111254" TargetMode="External"/><Relationship Id="rIdxtlc7medtybml-0mjdfkq" Type="http://schemas.openxmlformats.org/officeDocument/2006/relationships/hyperlink" Target="https://dalil.kg/document/202913#st_4" TargetMode="External"/><Relationship Id="rId44p2cma5somzf-ecpzzba" Type="http://schemas.openxmlformats.org/officeDocument/2006/relationships/hyperlink" Target="https://dalil.kg/document/4" TargetMode="External"/><Relationship Id="rIdlcd6xoa5za--zngdmu6pm" Type="http://schemas.openxmlformats.org/officeDocument/2006/relationships/hyperlink" Target="https://dalil.kg/document/4" TargetMode="External"/><Relationship Id="rIdtmejbsay0fzpdscb_4-u4" Type="http://schemas.openxmlformats.org/officeDocument/2006/relationships/hyperlink" Target="https://dalil.kg/document/202621#st_18" TargetMode="External"/><Relationship Id="rIdwr15gsqzrq2e6owv0jg9q" Type="http://schemas.openxmlformats.org/officeDocument/2006/relationships/hyperlink" Target="https://dalil.kg/document/111338#st_14" TargetMode="External"/><Relationship Id="rId3bh4dqbk0ohx_6-ytzafr" Type="http://schemas.openxmlformats.org/officeDocument/2006/relationships/hyperlink" Target="https://dalil.kg/document/111338#st_13" TargetMode="External"/><Relationship Id="rIdiqyierywpftqng7envmgw" Type="http://schemas.openxmlformats.org/officeDocument/2006/relationships/hyperlink" Target="https://dalil.kg/document/111338#st_13" TargetMode="External"/><Relationship Id="rId0zfy5ewnrycy54lvww0bn" Type="http://schemas.openxmlformats.org/officeDocument/2006/relationships/hyperlink" Target="https://dalil.kg/document/111338#st_21" TargetMode="External"/><Relationship Id="rIdiv5pechwzrwtgc5qr45fc" Type="http://schemas.openxmlformats.org/officeDocument/2006/relationships/hyperlink" Target="https://dalil.kg/document/111338#st_49" TargetMode="External"/><Relationship Id="rIdpy-pyxds4rluvndskggg6" Type="http://schemas.openxmlformats.org/officeDocument/2006/relationships/hyperlink" Target="https://dalil.kg/document/111338#st_13" TargetMode="External"/><Relationship Id="rIdhdmejqexoso2z80ezx5yh" Type="http://schemas.openxmlformats.org/officeDocument/2006/relationships/hyperlink" Target="https://dalil.kg/document/202913#st_5" TargetMode="External"/><Relationship Id="rIdljv0ff_spimmahfp_tdnb" Type="http://schemas.openxmlformats.org/officeDocument/2006/relationships/hyperlink" Target="https://dalil.kg/document/202913" TargetMode="External"/><Relationship Id="rIdtb5pumnugeeelm7fd38ri" Type="http://schemas.openxmlformats.org/officeDocument/2006/relationships/hyperlink" Target="https://dalil.kg/document/203685#st_10" TargetMode="External"/><Relationship Id="rIdc6hpu3mjsccv_nf_bqsi0" Type="http://schemas.openxmlformats.org/officeDocument/2006/relationships/hyperlink" Target="https://dalil.kg/document/203685#st_11" TargetMode="External"/><Relationship Id="rIdvpzn_tsdhzttdzkydp9pw" Type="http://schemas.openxmlformats.org/officeDocument/2006/relationships/hyperlink" Target="https://dalil.kg/document/91093" TargetMode="External"/><Relationship Id="rId6vbqgk0jqgpwpl8wq_lbv" Type="http://schemas.openxmlformats.org/officeDocument/2006/relationships/hyperlink" Target="https://dalil.kg/document/90411" TargetMode="External"/><Relationship Id="rIdnegrtmqeeq5jpykeoqe_i" Type="http://schemas.openxmlformats.org/officeDocument/2006/relationships/hyperlink" Target="https://dalil.kg/document/202445#st_50" TargetMode="External"/><Relationship Id="rIdyacunxrnhu4gfkocoo8pj" Type="http://schemas.openxmlformats.org/officeDocument/2006/relationships/hyperlink" Target="https://dalil.kg/document/1502#st_1" TargetMode="External"/><Relationship Id="rIdf4tgkgqifjxp2jb4hfraa" Type="http://schemas.openxmlformats.org/officeDocument/2006/relationships/hyperlink" Target="https://dalil.kg/document/111338#st_5" TargetMode="External"/><Relationship Id="rIddxjxpftjz0ivvvbdquwej" Type="http://schemas.openxmlformats.org/officeDocument/2006/relationships/hyperlink" Target="https://dalil.kg/document/202913#st_80" TargetMode="External"/><Relationship Id="rIdsu96ax4mrmpnhm2dymjnd" Type="http://schemas.openxmlformats.org/officeDocument/2006/relationships/hyperlink" Target="https://dalil.kg/document/98624" TargetMode="External"/><Relationship Id="rIdmdviue4_sftnd9pm6beub" Type="http://schemas.openxmlformats.org/officeDocument/2006/relationships/hyperlink" Target="https://dalil.kg/document/111254#st_62" TargetMode="External"/><Relationship Id="rIdrqfy3yc3mlirrcv75czff" Type="http://schemas.openxmlformats.org/officeDocument/2006/relationships/hyperlink" Target="https://dalil.kg/document/4" TargetMode="External"/><Relationship Id="rId0yfos1g4mt6uns3jjrqaf" Type="http://schemas.openxmlformats.org/officeDocument/2006/relationships/hyperlink" Target="https://dalil.kg/document/4" TargetMode="External"/><Relationship Id="rIdtessjn7l0gx646yguvtku" Type="http://schemas.openxmlformats.org/officeDocument/2006/relationships/hyperlink" Target="https://dalil.kg/document/202621#st_14" TargetMode="External"/><Relationship Id="rIdudebkzhmbw-_wdi58vjd3" Type="http://schemas.openxmlformats.org/officeDocument/2006/relationships/hyperlink" Target="https://dalil.kg/document/76491" TargetMode="External"/><Relationship Id="rIdx4-mmfknmgtkp0bqreflt" Type="http://schemas.openxmlformats.org/officeDocument/2006/relationships/hyperlink" Target="https://dalil.kg/document/76490" TargetMode="External"/><Relationship Id="rId8" Type="http://schemas.openxmlformats.org/officeDocument/2006/relationships/image" Target="media/8de64316e95979c063c17bcd5380dc052a2594e9.png"/><Relationship Id="rId4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o21ihfqed3nkfthmc_e" Type="http://schemas.openxmlformats.org/officeDocument/2006/relationships/hyperlink" Target="https://dalil.kg/document/157740" TargetMode="External"/><Relationship Id="rId-zvd2rrwljyo5b-el8d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2026-10-03T05:22:46.699Z</dcterms:created>
  <dcterms:modified xsi:type="dcterms:W3CDTF">2026-10-03T05:22:46.699Z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