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2pey5tgwfy_h4l-wqwp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апреля 2021 года № 137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30 апреля 2020 года № 228</w:t>
      </w:r>
    </w:p>
    <w:p>
      <w:pPr>
        <w:spacing w:after="480" w:before="2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2020/2021 года</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am610y_6d8g4lmqko9qns">
        <w:r>
          <w:rPr>
            <w:rFonts w:ascii="Arial" w:cs="Arial" w:eastAsia="Arial" w:hAnsi="Arial"/>
            <w:i/>
            <w:iCs/>
            <w:color w:val="1D4ED8"/>
            <w:sz w:val="24"/>
            <w:szCs w:val="24"/>
            <w:u w:val="single"/>
          </w:rPr>
          <w:t xml:space="preserve">27 октября 2020 года № 520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2020/2021 года, в соответствии со статьями </w:t>
      </w:r>
      <w:hyperlink w:history="1" r:id="rIdj0pauv0v9tdlb88jze8ur">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xwcw2yo8vnkt_b1dmjtt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2020/2021 года (далее - План мероприятий) согласно </w:t>
      </w:r>
      <w:hyperlink w:history="1" r:id="rIdmwukaubua9swmkbxjf6e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"Чакан ГЭС",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1-21;</w:t>
      </w:r>
    </w:p>
    <w:p>
      <w:pPr>
        <w:spacing w:after="60"/>
        <w:ind w:firstLine="567"/>
        <w:jc w:val="both"/>
      </w:pPr>
      <w:r>
        <w:rPr>
          <w:rFonts w:ascii="Arial" w:cs="Arial" w:eastAsia="Arial" w:hAnsi="Arial"/>
          <w:sz w:val="24"/>
          <w:szCs w:val="24"/>
        </w:rPr>
        <w:t xml:space="preserve">- в срок до 1 июля 2020 года в установленном порядке принять меры по проведению конкурсов на закупку топлива для бюджетных организаций, заключить договоры;</w:t>
      </w:r>
    </w:p>
    <w:p>
      <w:pPr>
        <w:spacing w:after="60"/>
        <w:ind w:firstLine="567"/>
        <w:jc w:val="both"/>
      </w:pPr>
      <w:r>
        <w:rPr>
          <w:rFonts w:ascii="Arial" w:cs="Arial" w:eastAsia="Arial" w:hAnsi="Arial"/>
          <w:sz w:val="24"/>
          <w:szCs w:val="24"/>
        </w:rPr>
        <w:t xml:space="preserve">- в срок до 1 июня 2020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567"/>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закупку угля, о выполнении плановых заданий по заготовке топлива, создании топливных баз и пунктов реализации угля, с указанием цен на уголь. Ответственность за представление информации в Государственный комитет промышленности, энергетики и недропользования Кыргызской Республики и ее достоверность возлагается на руководителей министерств, государственных комитетов, административных ведомств, полномочных представителей Правительства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567"/>
        <w:jc w:val="both"/>
      </w:pPr>
      <w:r>
        <w:rPr>
          <w:rFonts w:ascii="Arial" w:cs="Arial" w:eastAsia="Arial" w:hAnsi="Arial"/>
          <w:sz w:val="24"/>
          <w:szCs w:val="24"/>
        </w:rPr>
        <w:t xml:space="preserve">3. В соответствии с частью 2 </w:t>
      </w:r>
      <w:hyperlink w:history="1" r:id="rIduecpreleoeuvqidu4_yqr">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Закона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2020/2021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25 мая 2020 года:</w:t>
      </w:r>
    </w:p>
    <w:p>
      <w:pPr>
        <w:spacing w:after="60"/>
        <w:ind w:firstLine="567"/>
        <w:jc w:val="both"/>
      </w:pPr>
      <w:r>
        <w:rPr>
          <w:rFonts w:ascii="Arial" w:cs="Arial" w:eastAsia="Arial" w:hAnsi="Arial"/>
          <w:sz w:val="24"/>
          <w:szCs w:val="24"/>
        </w:rPr>
        <w:t xml:space="preserve">-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определить цены на перевозку угля автотранспортными средствами по маршрутам: разрез "Кара-Кече" - железнодорожная станция Балыкчы и город Таш-Кумыр - ТЭЦ города Бишкек и рекомендовать их для использования;</w:t>
      </w:r>
    </w:p>
    <w:p>
      <w:pPr>
        <w:spacing w:after="60"/>
        <w:ind w:firstLine="567"/>
        <w:jc w:val="both"/>
      </w:pPr>
      <w:r>
        <w:rPr>
          <w:rFonts w:ascii="Arial" w:cs="Arial" w:eastAsia="Arial" w:hAnsi="Arial"/>
          <w:sz w:val="24"/>
          <w:szCs w:val="24"/>
        </w:rPr>
        <w:t xml:space="preserve">- установить для ОАО "Кыргызнефтегаз" цену на топочный мазут марки "М-100" для поставки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5.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в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стабилизации цен в установленном законодательством порядке.</w:t>
      </w:r>
    </w:p>
    <w:p>
      <w:pPr>
        <w:spacing w:after="60"/>
        <w:ind w:firstLine="567"/>
        <w:jc w:val="both"/>
      </w:pPr>
      <w:r>
        <w:rPr>
          <w:rFonts w:ascii="Arial" w:cs="Arial" w:eastAsia="Arial" w:hAnsi="Arial"/>
          <w:sz w:val="24"/>
          <w:szCs w:val="24"/>
        </w:rPr>
        <w:t xml:space="preserve">6. Министерству экономики Кыргызской Республики по результатам мониторинга, анализа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ind w:firstLine="567"/>
        <w:jc w:val="both"/>
      </w:pPr>
      <w:r>
        <w:rPr>
          <w:rFonts w:ascii="Arial" w:cs="Arial" w:eastAsia="Arial" w:hAnsi="Arial"/>
          <w:sz w:val="24"/>
          <w:szCs w:val="24"/>
        </w:rPr>
        <w:t xml:space="preserve">7. Министерству финансов Кыргызской Республики обеспечить в 2020 году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p>
    <w:p>
      <w:pPr>
        <w:spacing w:after="60"/>
        <w:ind w:firstLine="567"/>
        <w:jc w:val="both"/>
      </w:pPr>
      <w:hyperlink w:history="1" r:id="rIdgiepjfc6hqx7b1he2vx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2020 год и прогнозе на 2021-2022 годы".</w:t>
      </w:r>
    </w:p>
    <w:p>
      <w:pPr>
        <w:spacing w:after="60"/>
        <w:ind w:firstLine="567"/>
        <w:jc w:val="both"/>
      </w:pPr>
      <w:r>
        <w:rPr>
          <w:rFonts w:ascii="Arial" w:cs="Arial" w:eastAsia="Arial" w:hAnsi="Arial"/>
          <w:sz w:val="24"/>
          <w:szCs w:val="24"/>
        </w:rPr>
        <w:t xml:space="preserve">8.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60"/>
        <w:ind w:firstLine="567"/>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60"/>
        <w:ind w:firstLine="567"/>
        <w:jc w:val="both"/>
      </w:pPr>
      <w:r>
        <w:rPr>
          <w:rFonts w:ascii="Arial" w:cs="Arial" w:eastAsia="Arial" w:hAnsi="Arial"/>
          <w:sz w:val="24"/>
          <w:szCs w:val="24"/>
        </w:rPr>
        <w:t xml:space="preserve">9.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линий электропередачи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11. Возложить персональную ответственность:</w:t>
      </w:r>
    </w:p>
    <w:p>
      <w:pPr>
        <w:spacing w:after="60"/>
        <w:ind w:firstLine="567"/>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60"/>
        <w:ind w:firstLine="567"/>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 за качество и своевременность проведения ремонтно-восстановительных работ энергооборудования - на руководителей ОАО "Национальная энергетическая холдинговая компания", "Северэлектро", "Ошэлектро", "Востокэлектро", "Жалалабатэлектро", "Национальная электрическая сеть Кыргызстана", "Электрические станции", "Чакан ГЭС", "Бишкектеплосеть", коммунального предприятия "Бишкектеплоэнерго" мэрии города Бишкек, Ошского муниципального предприятия "Теплоснабжение" и государственного предприятия "Кыргызтеплоэнерго"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12.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2020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обеспечить завершение ремонтных работ котельного оборудования и тепловых сетей до начала отопительного сезона 2020/2021 года.</w:t>
      </w:r>
    </w:p>
    <w:p>
      <w:pPr>
        <w:spacing w:after="60"/>
        <w:ind w:firstLine="567"/>
        <w:jc w:val="both"/>
      </w:pPr>
      <w:r>
        <w:rPr>
          <w:rFonts w:ascii="Arial" w:cs="Arial" w:eastAsia="Arial" w:hAnsi="Arial"/>
          <w:sz w:val="24"/>
          <w:szCs w:val="24"/>
        </w:rPr>
        <w:t xml:space="preserve">13.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2020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завершить ремонтные работы котельного оборудования и тепловых сетей до начала отопительного сезона 2020/2021 года.</w:t>
      </w:r>
    </w:p>
    <w:p>
      <w:pPr>
        <w:spacing w:after="60"/>
        <w:ind w:firstLine="567"/>
        <w:jc w:val="both"/>
      </w:pPr>
      <w:r>
        <w:rPr>
          <w:rFonts w:ascii="Arial" w:cs="Arial" w:eastAsia="Arial" w:hAnsi="Arial"/>
          <w:sz w:val="24"/>
          <w:szCs w:val="24"/>
        </w:rPr>
        <w:t xml:space="preserve">14. Государственному предприятию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в срок до 15 мая 2020 года представить в Государственное агентство антимонопольного регулирования при Правительстве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567"/>
        <w:jc w:val="both"/>
      </w:pPr>
      <w:r>
        <w:rPr>
          <w:rFonts w:ascii="Arial" w:cs="Arial" w:eastAsia="Arial" w:hAnsi="Arial"/>
          <w:sz w:val="24"/>
          <w:szCs w:val="24"/>
        </w:rPr>
        <w:t xml:space="preserve">- в целях своевременной подготовки к предстоящему осенне-зимнему периоду 2020/2021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ind w:firstLine="567"/>
        <w:jc w:val="both"/>
      </w:pPr>
      <w:r>
        <w:rPr>
          <w:rFonts w:ascii="Arial" w:cs="Arial" w:eastAsia="Arial" w:hAnsi="Arial"/>
          <w:sz w:val="24"/>
          <w:szCs w:val="24"/>
        </w:rPr>
        <w:t xml:space="preserve">- обеспечить соответствие качества угля, поставляемого на ТЭЦ города Бишкек, техническим характеристикам, заданным ОАО "Электрические станции".</w:t>
      </w:r>
    </w:p>
    <w:p>
      <w:pPr>
        <w:spacing w:after="60"/>
        <w:ind w:firstLine="567"/>
        <w:jc w:val="both"/>
      </w:pPr>
      <w:r>
        <w:rPr>
          <w:rFonts w:ascii="Arial" w:cs="Arial" w:eastAsia="Arial" w:hAnsi="Arial"/>
          <w:sz w:val="24"/>
          <w:szCs w:val="24"/>
        </w:rPr>
        <w:t xml:space="preserve">15. Рекомендовать ОАО "Кыргызнефтегаз":</w:t>
      </w:r>
    </w:p>
    <w:p>
      <w:pPr>
        <w:spacing w:after="60"/>
        <w:ind w:firstLine="567"/>
        <w:jc w:val="both"/>
      </w:pPr>
      <w:r>
        <w:rPr>
          <w:rFonts w:ascii="Arial" w:cs="Arial" w:eastAsia="Arial" w:hAnsi="Arial"/>
          <w:sz w:val="24"/>
          <w:szCs w:val="24"/>
        </w:rPr>
        <w:t xml:space="preserve">- в срок до 15 мая 2020 года представить в Государственное агентство антимонопольного регулирования при Правительстве Кыргызской Республики расчетные материалы для установления цен на топочный мазут марки "М-100" для поставки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 обеспечить поставку топочного мазута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 в необходимом объеме в возможно короткие сроки.</w:t>
      </w:r>
    </w:p>
    <w:p>
      <w:pPr>
        <w:spacing w:after="60"/>
        <w:ind w:firstLine="567"/>
        <w:jc w:val="both"/>
      </w:pPr>
      <w:r>
        <w:rPr>
          <w:rFonts w:ascii="Arial" w:cs="Arial" w:eastAsia="Arial" w:hAnsi="Arial"/>
          <w:sz w:val="24"/>
          <w:szCs w:val="24"/>
        </w:rPr>
        <w:t xml:space="preserve">16. Рекомендовать ОАО "Национальная энергетическая холдинговая компания":</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и "Жалалабатэлектро":</w:t>
      </w:r>
    </w:p>
    <w:p>
      <w:pPr>
        <w:spacing w:after="60"/>
        <w:ind w:firstLine="567"/>
        <w:jc w:val="both"/>
      </w:pPr>
      <w:r>
        <w:rPr>
          <w:rFonts w:ascii="Arial" w:cs="Arial" w:eastAsia="Arial" w:hAnsi="Arial"/>
          <w:sz w:val="24"/>
          <w:szCs w:val="24"/>
        </w:rPr>
        <w:t xml:space="preserve">принять меры по обеспечению бесперебойного снабжения электрической энергией потребителей республики;</w:t>
      </w:r>
    </w:p>
    <w:p>
      <w:pPr>
        <w:spacing w:after="60"/>
        <w:ind w:firstLine="567"/>
        <w:jc w:val="both"/>
      </w:pPr>
      <w:r>
        <w:rPr>
          <w:rFonts w:ascii="Arial" w:cs="Arial" w:eastAsia="Arial" w:hAnsi="Arial"/>
          <w:sz w:val="24"/>
          <w:szCs w:val="24"/>
        </w:rPr>
        <w:t xml:space="preserve">обеспечить в 2020 году снижение уровня потерь электрической энергии в электрических сетях: ОАО "Национальная электрическая сеть Кыргызстана" - до 5,0%, ОАО "Северэлектро" - до 10,0%, ОАО "Востокэлектро" - до 11,8%, ОАО "Ошэлектро" - до 10,4%, ОАО "Жалалабатэлектро" - до 10,4% и снижение дебиторской задолженности на 25%, без учета задолженности бюджетных потребителей и выплаты компенсаций за четвертый квартал 2019 года лицам, проживающим в условиях высокогорья и отдаленных труднодоступных зонах республики;</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на 2020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предусмотреть меры по электроснабжению и электроотоплению жилых многоквартирных домов жилого массива "Кок-Жар" до решения вопроса об альтернативном виде отопления.</w:t>
      </w:r>
    </w:p>
    <w:p>
      <w:pPr>
        <w:spacing w:after="60"/>
        <w:ind w:firstLine="567"/>
        <w:jc w:val="both"/>
      </w:pPr>
      <w:r>
        <w:rPr>
          <w:rFonts w:ascii="Arial" w:cs="Arial" w:eastAsia="Arial" w:hAnsi="Arial"/>
          <w:sz w:val="24"/>
          <w:szCs w:val="24"/>
        </w:rPr>
        <w:t xml:space="preserve">17.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60"/>
        <w:ind w:firstLine="567"/>
        <w:jc w:val="both"/>
      </w:pPr>
      <w:r>
        <w:rPr>
          <w:rFonts w:ascii="Arial" w:cs="Arial" w:eastAsia="Arial" w:hAnsi="Arial"/>
          <w:sz w:val="24"/>
          <w:szCs w:val="24"/>
        </w:rPr>
        <w:t xml:space="preserve">- в установленном порядке принимать соответствующие меры в отношении потребителей, имеющих дебиторскую задолженность за электрическую, тепловую энергию и природный газ, и бюджетных организаций, допускающих перерасход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w:t>
      </w:r>
    </w:p>
    <w:p>
      <w:pPr>
        <w:spacing w:after="60"/>
        <w:ind w:firstLine="567"/>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2020/2021 года, с соблюдением взаимных гарантийных и иных обязательств.</w:t>
      </w:r>
    </w:p>
    <w:p>
      <w:pPr>
        <w:spacing w:after="60"/>
        <w:ind w:firstLine="567"/>
        <w:jc w:val="both"/>
      </w:pPr>
      <w:r>
        <w:rPr>
          <w:rFonts w:ascii="Arial" w:cs="Arial" w:eastAsia="Arial" w:hAnsi="Arial"/>
          <w:sz w:val="24"/>
          <w:szCs w:val="24"/>
        </w:rPr>
        <w:t xml:space="preserve">18. Рекомендовать ОАО "Газпром Кыргызстан":</w:t>
      </w:r>
    </w:p>
    <w:p>
      <w:pPr>
        <w:spacing w:after="60"/>
        <w:ind w:firstLine="567"/>
        <w:jc w:val="both"/>
      </w:pPr>
      <w:r>
        <w:rPr>
          <w:rFonts w:ascii="Arial" w:cs="Arial" w:eastAsia="Arial" w:hAnsi="Arial"/>
          <w:sz w:val="24"/>
          <w:szCs w:val="24"/>
        </w:rPr>
        <w:t xml:space="preserve">- обеспечить бесперебойную поставку природного газа для ТЭЦ г.Бишкек, ТЭЦ г.Ош и потребителей Кыргызской Республики в осенне-зимний период 2020/2021 года;</w:t>
      </w:r>
    </w:p>
    <w:p>
      <w:pPr>
        <w:spacing w:after="60"/>
        <w:ind w:firstLine="567"/>
        <w:jc w:val="both"/>
      </w:pPr>
      <w:r>
        <w:rPr>
          <w:rFonts w:ascii="Arial" w:cs="Arial" w:eastAsia="Arial" w:hAnsi="Arial"/>
          <w:sz w:val="24"/>
          <w:szCs w:val="24"/>
        </w:rPr>
        <w:t xml:space="preserve">- обеспечить выполнение Инвестиционной программы на 2020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 на ежемесячной основе представлять информацию об исполнении Инвестиционной программы на 2020 год в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Инвестиционной программы на 2020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20.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электроэнергии, и представить ОАО "Национальная электрическая сеть Кыргызстана".</w:t>
      </w:r>
    </w:p>
    <w:p>
      <w:pPr>
        <w:spacing w:after="60"/>
        <w:ind w:firstLine="567"/>
        <w:jc w:val="both"/>
      </w:pPr>
      <w:r>
        <w:rPr>
          <w:rFonts w:ascii="Arial" w:cs="Arial" w:eastAsia="Arial" w:hAnsi="Arial"/>
          <w:sz w:val="24"/>
          <w:szCs w:val="24"/>
        </w:rPr>
        <w:t xml:space="preserve">21. Признать утратившими силу:</w:t>
      </w:r>
    </w:p>
    <w:p>
      <w:pPr>
        <w:spacing w:after="60"/>
        <w:ind w:firstLine="567"/>
        <w:jc w:val="both"/>
      </w:pPr>
      <w:r>
        <w:rPr>
          <w:rFonts w:ascii="Arial" w:cs="Arial" w:eastAsia="Arial" w:hAnsi="Arial"/>
          <w:sz w:val="24"/>
          <w:szCs w:val="24"/>
        </w:rPr>
        <w:t xml:space="preserve">- </w:t>
      </w:r>
      <w:hyperlink w:history="1" r:id="rIdhrvex_o9ixua8iw9i0u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2019/2020 года" от 3 мая 2019 года № 210;</w:t>
      </w:r>
    </w:p>
    <w:p>
      <w:pPr>
        <w:spacing w:after="60"/>
        <w:ind w:firstLine="567"/>
        <w:jc w:val="both"/>
      </w:pPr>
      <w:r>
        <w:rPr>
          <w:rFonts w:ascii="Arial" w:cs="Arial" w:eastAsia="Arial" w:hAnsi="Arial"/>
          <w:sz w:val="24"/>
          <w:szCs w:val="24"/>
        </w:rPr>
        <w:t xml:space="preserve">- постановление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2019/2020 года" от 3 мая 2019 года № 210" от 3 октября 2019 года № 516;</w:t>
      </w:r>
    </w:p>
    <w:p>
      <w:pPr>
        <w:spacing w:after="60"/>
        <w:ind w:firstLine="567"/>
        <w:jc w:val="both"/>
      </w:pPr>
      <w:r>
        <w:rPr>
          <w:rFonts w:ascii="Arial" w:cs="Arial" w:eastAsia="Arial" w:hAnsi="Arial"/>
          <w:sz w:val="24"/>
          <w:szCs w:val="24"/>
        </w:rPr>
        <w:t xml:space="preserve">- </w:t>
      </w:r>
      <w:hyperlink w:history="1" r:id="rId8a9dgtt_tfij6v1r5ot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2019/2020 года" от 14 октября 2019 года № 544.</w:t>
      </w:r>
    </w:p>
    <w:p>
      <w:pPr>
        <w:spacing w:after="60"/>
        <w:ind w:firstLine="567"/>
        <w:jc w:val="both"/>
      </w:pPr>
      <w:r>
        <w:rPr>
          <w:rFonts w:ascii="Arial" w:cs="Arial" w:eastAsia="Arial" w:hAnsi="Arial"/>
          <w:sz w:val="24"/>
          <w:szCs w:val="24"/>
        </w:rPr>
        <w:t xml:space="preserve">22.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23.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мая 2020 года № 35 (3107)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400" w:before="400"/>
        <w:jc w:val="center"/>
      </w:pPr>
      <w:r>
        <w:rPr>
          <w:rFonts w:ascii="Arial" w:cs="Arial" w:eastAsia="Arial" w:hAnsi="Arial"/>
          <w:b/>
          <w:bCs/>
          <w:sz w:val="22"/>
          <w:szCs w:val="22"/>
        </w:rPr>
        <w:t xml:space="preserve">ПЛАН
 мероприятий по подготовке отраслей экономики и населения Кыргызской Республики к осенне-зимнему периоду 2020/2021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4373"/>
        <w:gridCol w:w="1908"/>
        <w:gridCol w:w="343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мероприятий</w:t>
            </w:r>
          </w:p>
        </w:tc>
        <w:tc>
          <w:tcPr>
            <w:tcW w:type="dxa" w:w="1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 исполнения</w:t>
            </w:r>
          </w:p>
        </w:tc>
        <w:tc>
          <w:tcPr>
            <w:tcW w:type="dxa" w:w="3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сезону, в первую очередь вопросов:</w:t>
            </w:r>
          </w:p>
          <w:p>
            <w:pPr>
              <w:jc w:val="left"/>
            </w:pPr>
            <w:r>
              <w:rPr>
                <w:rFonts w:ascii="Arial" w:cs="Arial" w:eastAsia="Arial" w:hAnsi="Arial"/>
                <w:sz w:val="22"/>
                <w:szCs w:val="22"/>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2"/>
                <w:szCs w:val="22"/>
              </w:rPr>
              <w:t xml:space="preserve">- о качестве подготовки социальных объектов к отопительному периоду;</w:t>
            </w:r>
          </w:p>
          <w:p>
            <w:pPr>
              <w:jc w:val="left"/>
            </w:pPr>
            <w:r>
              <w:rPr>
                <w:rFonts w:ascii="Arial" w:cs="Arial" w:eastAsia="Arial" w:hAnsi="Arial"/>
                <w:sz w:val="22"/>
                <w:szCs w:val="22"/>
              </w:rPr>
              <w:t xml:space="preserve">- о качестве подготовки жилого фонда к отопительному периоду;</w:t>
            </w:r>
          </w:p>
          <w:p>
            <w:pPr>
              <w:jc w:val="left"/>
            </w:pPr>
            <w:r>
              <w:rPr>
                <w:rFonts w:ascii="Arial" w:cs="Arial" w:eastAsia="Arial" w:hAnsi="Arial"/>
                <w:sz w:val="22"/>
                <w:szCs w:val="22"/>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1 июля 2020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аппараты ПП ПКР в областях, по согласованию: мэрии городов Бишкек и Ош, предприятия ТЭК</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Выполнять расчеты водно-энергетических режимов использования воды Токтогульского водохранилища на период 2020 года и I квартал 2021 года на основе прогноза и ожидаемого объема электропотребления</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Ежемесячно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"НЭХК", ОАО "ЭС"</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2020 года)</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ГКПЭН, по согласованию: ОАО "НЭХК", ОАО "НЭСК"</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"НЭХК", ОАО "НЭСК"</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"НЭСК"</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30 октября 2020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"НЭСК", ОАО "СЭ", ОАО "ВЭ", ОАО "ОЭ", ОАО "ЖЭ", крупные промышленные предприятия, оптовые покупатели-перепродавцы</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Согласно графику ремонта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"НЭХК", ОАО "ЭС"</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согласовать температурный график работы теплосети и обеспечивать его безусловное выполнение</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1 октября 2020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"БТС", ОАО "ЭС"</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представление ОАО "НЭСК"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p>
          <w:p>
            <w:pPr>
              <w:jc w:val="left"/>
            </w:pPr>
            <w:r>
              <w:rPr>
                <w:rFonts w:ascii="Arial" w:cs="Arial" w:eastAsia="Arial" w:hAnsi="Arial"/>
                <w:sz w:val="22"/>
                <w:szCs w:val="22"/>
              </w:rPr>
              <w:t xml:space="preserve">- не допускать превышения разрешенной суточными графиками величины передаваемых ОАО "НЭСК" электрической энергии и мощности;</w:t>
            </w:r>
          </w:p>
          <w:p>
            <w:pPr>
              <w:jc w:val="left"/>
            </w:pPr>
            <w:r>
              <w:rPr>
                <w:rFonts w:ascii="Arial" w:cs="Arial" w:eastAsia="Arial" w:hAnsi="Arial"/>
                <w:sz w:val="22"/>
                <w:szCs w:val="22"/>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2"/>
                <w:szCs w:val="22"/>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"НЭСК",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"НЭСК", ОАО "СЭ", ОАО "ВЭ", ОАО "ОЭ", ОАО "ЖЭ", лицензиаты на передачу и поставку электрической энергии</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соответствии с графиком</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ТЭК (по согласованию)</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установленных режимов потребления электрической энергии и мощности, в случаях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технических условий потребителей, имеющих трехфазный ввод</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ОАО "СЭ", ОАО "ВЭ", ОАО "ОЭ", ОАО "ЖЭ"</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согласно приложениям 2-11 к настоящему постановлению</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аппараты ПП ПКР в областях, по согласованию: предприятия ТЭК, ОАО "НЭХК", ОАО "СЭ", ОАО "ОЭ", ОАО "ВЭ", ОАО "ЖЭ", мэрии городов Бишкек и Ош</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своевременно и в полном объеме оплату за потребленные бюджетными организациями электрическую и тепловую энергию и природный газ</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местные государственные администрации</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ТЭК (по согласованию)</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 осенне-зимний период 2020/2021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 1 августа 2020 года до 1 марта 2021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Принимать меры по обеспечению бесперебойной отгрузки угля на угольных разрезах для обеспечения углем населения и бюджетных учреждений республики</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 1 августа 2020 года до 1 марта 2021 года</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ГП "Кыргызкомур"</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МЧС, ГКДО, по согласованию: ОАО "НЭСК", ОАО "СЭ", ОАО "ОЭ", ОАО "ВЭ", ОАО "ЖЭ"</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4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Проводить разъяснительную работу среди населения через средства массовой информации:</w:t>
            </w:r>
          </w:p>
          <w:p>
            <w:pPr>
              <w:jc w:val="left"/>
            </w:pPr>
            <w:r>
              <w:rPr>
                <w:rFonts w:ascii="Arial" w:cs="Arial" w:eastAsia="Arial" w:hAnsi="Arial"/>
                <w:sz w:val="22"/>
                <w:szCs w:val="22"/>
              </w:rPr>
              <w:t xml:space="preserve">- о сложившейся ситуации с накоплением воды в Токтогульском водохранилище;</w:t>
            </w:r>
          </w:p>
          <w:p>
            <w:pPr>
              <w:jc w:val="left"/>
            </w:pPr>
            <w:r>
              <w:rPr>
                <w:rFonts w:ascii="Arial" w:cs="Arial" w:eastAsia="Arial" w:hAnsi="Arial"/>
                <w:sz w:val="22"/>
                <w:szCs w:val="22"/>
              </w:rPr>
              <w:t xml:space="preserve">- о необходимости своевременного погашения задолженности за потребленные электрическую, тепловую энергию и природный газ;</w:t>
            </w:r>
          </w:p>
          <w:p>
            <w:pPr>
              <w:jc w:val="left"/>
            </w:pPr>
            <w:r>
              <w:rPr>
                <w:rFonts w:ascii="Arial" w:cs="Arial" w:eastAsia="Arial" w:hAnsi="Arial"/>
                <w:sz w:val="22"/>
                <w:szCs w:val="22"/>
              </w:rPr>
              <w:t xml:space="preserve">- об экономном использовании электрической энергии, рациональном и эффективном использовании топлива и энергии;</w:t>
            </w:r>
          </w:p>
          <w:p>
            <w:pPr>
              <w:jc w:val="left"/>
            </w:pPr>
            <w:r>
              <w:rPr>
                <w:rFonts w:ascii="Arial" w:cs="Arial" w:eastAsia="Arial" w:hAnsi="Arial"/>
                <w:sz w:val="22"/>
                <w:szCs w:val="22"/>
              </w:rPr>
              <w:t xml:space="preserve">- об энергосбережении и заготовке топлива;</w:t>
            </w:r>
          </w:p>
          <w:p>
            <w:pPr>
              <w:jc w:val="left"/>
            </w:pPr>
            <w:r>
              <w:rPr>
                <w:rFonts w:ascii="Arial" w:cs="Arial" w:eastAsia="Arial" w:hAnsi="Arial"/>
                <w:sz w:val="22"/>
                <w:szCs w:val="22"/>
              </w:rPr>
              <w:t xml:space="preserve">- о проводимых мероприятиях по успешному прохождению предстоящего отопительного периода</w:t>
            </w:r>
          </w:p>
        </w:tc>
        <w:tc>
          <w:tcPr>
            <w:tcW w:type="dxa" w:w="1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c>
          <w:tcPr>
            <w:tcW w:type="dxa" w:w="3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Министерства, государственные комитеты, административные ведомства, аппараты ПП ПКР в областях; по согласованию: мэрии городов Бишкек и Ош, предприятия ТЭК, ОАО "НЭХК"</w:t>
            </w:r>
          </w:p>
        </w:tc>
      </w:tr>
    </w:tbl>
    <w:p>
      <w:pPr>
        <w:spacing w:after="60" w:before="200"/>
        <w:ind w:firstLine="567"/>
        <w:jc w:val="both"/>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ГКПЭН</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промышленности, энергетики и недропользования Кыргызской Республики;</w:t>
      </w:r>
    </w:p>
    <w:p>
      <w:pPr>
        <w:tabs>
          <w:tab w:val="right" w:pos="10178"/>
        </w:tabs>
        <w:spacing w:after="120"/>
      </w:pPr>
      <w:r>
        <w:rPr>
          <w:rFonts w:ascii="Arial" w:cs="Arial" w:eastAsia="Arial" w:hAnsi="Arial"/>
          <w:b/>
          <w:bCs/>
          <w:sz w:val="22"/>
          <w:szCs w:val="22"/>
        </w:rPr>
        <w:t xml:space="preserve">МЧС</w:t>
      </w:r>
      <w:r>
        <w:rPr>
          <w:rFonts w:ascii="Arial" w:cs="Arial" w:eastAsia="Arial" w:hAnsi="Arial"/>
          <w:sz w:val="24"/>
          <w:szCs w:val="24"/>
        </w:rPr>
        <w:t xml:space="preserve">	</w:t>
      </w:r>
      <w:r>
        <w:rPr>
          <w:rFonts w:ascii="Arial" w:cs="Arial" w:eastAsia="Arial" w:hAnsi="Arial"/>
          <w:sz w:val="22"/>
          <w:szCs w:val="22"/>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2"/>
          <w:szCs w:val="22"/>
        </w:rPr>
        <w:t xml:space="preserve">ГКДО</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tabs>
          <w:tab w:val="right" w:pos="10178"/>
        </w:tabs>
        <w:spacing w:after="120"/>
      </w:pPr>
      <w:r>
        <w:rPr>
          <w:rFonts w:ascii="Arial" w:cs="Arial" w:eastAsia="Arial" w:hAnsi="Arial"/>
          <w:b/>
          <w:bCs/>
          <w:sz w:val="22"/>
          <w:szCs w:val="22"/>
        </w:rPr>
        <w:t xml:space="preserve">ТЭК</w:t>
      </w:r>
      <w:r>
        <w:rPr>
          <w:rFonts w:ascii="Arial" w:cs="Arial" w:eastAsia="Arial" w:hAnsi="Arial"/>
          <w:sz w:val="24"/>
          <w:szCs w:val="24"/>
        </w:rPr>
        <w:t xml:space="preserve">	</w:t>
      </w:r>
      <w:r>
        <w:rPr>
          <w:rFonts w:ascii="Arial" w:cs="Arial" w:eastAsia="Arial" w:hAnsi="Arial"/>
          <w:sz w:val="22"/>
          <w:szCs w:val="22"/>
        </w:rPr>
        <w:t xml:space="preserve">топливно-энергетический комплекс;</w:t>
      </w:r>
    </w:p>
    <w:p>
      <w:pPr>
        <w:tabs>
          <w:tab w:val="right" w:pos="10178"/>
        </w:tabs>
        <w:spacing w:after="120"/>
      </w:pPr>
      <w:r>
        <w:rPr>
          <w:rFonts w:ascii="Arial" w:cs="Arial" w:eastAsia="Arial" w:hAnsi="Arial"/>
          <w:b/>
          <w:bCs/>
          <w:sz w:val="22"/>
          <w:szCs w:val="22"/>
        </w:rPr>
        <w:t xml:space="preserve">ОАО "НЭХК"</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2"/>
          <w:szCs w:val="22"/>
        </w:rPr>
        <w:t xml:space="preserve">ОАО "ЭС"</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2"/>
          <w:szCs w:val="22"/>
        </w:rPr>
        <w:t xml:space="preserve">ОАО "НЭСК"</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b/>
          <w:bCs/>
          <w:sz w:val="22"/>
          <w:szCs w:val="22"/>
        </w:rPr>
        <w:t xml:space="preserve">ОАО "СЭ"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"Северэлектро";</w:t>
      </w:r>
    </w:p>
    <w:p>
      <w:pPr>
        <w:tabs>
          <w:tab w:val="right" w:pos="10178"/>
        </w:tabs>
        <w:spacing w:after="120"/>
      </w:pPr>
      <w:r>
        <w:rPr>
          <w:rFonts w:ascii="Arial" w:cs="Arial" w:eastAsia="Arial" w:hAnsi="Arial"/>
          <w:b/>
          <w:bCs/>
          <w:sz w:val="22"/>
          <w:szCs w:val="22"/>
        </w:rPr>
        <w:t xml:space="preserve">ОАО "ВЭ"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"Востокэлектро";</w:t>
      </w:r>
    </w:p>
    <w:p>
      <w:pPr>
        <w:tabs>
          <w:tab w:val="right" w:pos="10178"/>
        </w:tabs>
        <w:spacing w:after="120"/>
      </w:pPr>
      <w:r>
        <w:rPr>
          <w:rFonts w:ascii="Arial" w:cs="Arial" w:eastAsia="Arial" w:hAnsi="Arial"/>
          <w:b/>
          <w:bCs/>
          <w:sz w:val="22"/>
          <w:szCs w:val="22"/>
        </w:rPr>
        <w:t xml:space="preserve">ОАО "ОЭ"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"Ошэлектро";</w:t>
      </w:r>
    </w:p>
    <w:p>
      <w:pPr>
        <w:tabs>
          <w:tab w:val="right" w:pos="10178"/>
        </w:tabs>
        <w:spacing w:after="120"/>
      </w:pPr>
      <w:r>
        <w:rPr>
          <w:rFonts w:ascii="Arial" w:cs="Arial" w:eastAsia="Arial" w:hAnsi="Arial"/>
          <w:b/>
          <w:bCs/>
          <w:sz w:val="22"/>
          <w:szCs w:val="22"/>
        </w:rPr>
        <w:t xml:space="preserve">ОАО "ЖЭ"</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"Жалалабадэлектро";</w:t>
      </w:r>
    </w:p>
    <w:p>
      <w:pPr>
        <w:tabs>
          <w:tab w:val="right" w:pos="10178"/>
        </w:tabs>
        <w:spacing w:after="120"/>
      </w:pPr>
      <w:r>
        <w:rPr>
          <w:rFonts w:ascii="Arial" w:cs="Arial" w:eastAsia="Arial" w:hAnsi="Arial"/>
          <w:b/>
          <w:bCs/>
          <w:sz w:val="22"/>
          <w:szCs w:val="22"/>
        </w:rPr>
        <w:t xml:space="preserve">ОАО "БТС"</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 "Бишкектеплосеть";</w:t>
      </w:r>
    </w:p>
    <w:p>
      <w:pPr>
        <w:tabs>
          <w:tab w:val="right" w:pos="10178"/>
        </w:tabs>
        <w:spacing w:after="120"/>
      </w:pPr>
      <w:r>
        <w:rPr>
          <w:rFonts w:ascii="Arial" w:cs="Arial" w:eastAsia="Arial" w:hAnsi="Arial"/>
          <w:b/>
          <w:bCs/>
          <w:sz w:val="22"/>
          <w:szCs w:val="22"/>
        </w:rPr>
        <w:t xml:space="preserve">ТЭЦ</w:t>
      </w:r>
      <w:r>
        <w:rPr>
          <w:rFonts w:ascii="Arial" w:cs="Arial" w:eastAsia="Arial" w:hAnsi="Arial"/>
          <w:sz w:val="24"/>
          <w:szCs w:val="24"/>
        </w:rPr>
        <w:t xml:space="preserve">	</w:t>
      </w:r>
      <w:r>
        <w:rPr>
          <w:rFonts w:ascii="Arial" w:cs="Arial" w:eastAsia="Arial" w:hAnsi="Arial"/>
          <w:sz w:val="22"/>
          <w:szCs w:val="22"/>
        </w:rPr>
        <w:t xml:space="preserve">теплоэлектроцентраль;</w:t>
      </w:r>
    </w:p>
    <w:p>
      <w:pPr>
        <w:tabs>
          <w:tab w:val="right" w:pos="10178"/>
        </w:tabs>
        <w:spacing w:after="120"/>
      </w:pPr>
      <w:r>
        <w:rPr>
          <w:rFonts w:ascii="Arial" w:cs="Arial" w:eastAsia="Arial" w:hAnsi="Arial"/>
          <w:b/>
          <w:bCs/>
          <w:sz w:val="22"/>
          <w:szCs w:val="22"/>
        </w:rPr>
        <w:t xml:space="preserve">ГЭС</w:t>
      </w:r>
      <w:r>
        <w:rPr>
          <w:rFonts w:ascii="Arial" w:cs="Arial" w:eastAsia="Arial" w:hAnsi="Arial"/>
          <w:sz w:val="24"/>
          <w:szCs w:val="24"/>
        </w:rPr>
        <w:t xml:space="preserve">	</w:t>
      </w:r>
      <w:r>
        <w:rPr>
          <w:rFonts w:ascii="Arial" w:cs="Arial" w:eastAsia="Arial" w:hAnsi="Arial"/>
          <w:sz w:val="22"/>
          <w:szCs w:val="22"/>
        </w:rPr>
        <w:t xml:space="preserve">гидроэлектростанция.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zuxplbrdtrwlfjcxoke">
      <w:r>
        <w:rPr>
          <w:rFonts w:ascii="Arial" w:cs="Arial" w:eastAsia="Arial" w:hAnsi="Arial"/>
          <w:color w:val="132D3F"/>
          <w:sz w:val="16"/>
          <w:szCs w:val="16"/>
          <w:u w:val="single"/>
        </w:rPr>
        <w:t xml:space="preserve">dalil.kg/document/157780</w:t>
      </w:r>
    </w:hyperlink>
  </w:p>
  <w:p>
    <w:pPr>
      <w:spacing w:after="0" w:before="40"/>
      <w:jc w:val="center"/>
    </w:pPr>
    <w:hyperlink w:history="1" r:id="rIdkai_tv_cfzqusxpzn7j5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pey5tgwfy_h4l-wqwp7" Type="http://schemas.openxmlformats.org/officeDocument/2006/relationships/hyperlink" Target="https://dalil.kg/document/158153" TargetMode="External"/><Relationship Id="rIdam610y_6d8g4lmqko9qns" Type="http://schemas.openxmlformats.org/officeDocument/2006/relationships/hyperlink" Target="https://dalil.kg/document/157829" TargetMode="External"/><Relationship Id="rIdj0pauv0v9tdlb88jze8ur" Type="http://schemas.openxmlformats.org/officeDocument/2006/relationships/hyperlink" Target="https://dalil.kg/document/203685#st_10" TargetMode="External"/><Relationship Id="rIdxwcw2yo8vnkt_b1dmjtt1" Type="http://schemas.openxmlformats.org/officeDocument/2006/relationships/hyperlink" Target="https://dalil.kg/document/203685#st_17" TargetMode="External"/><Relationship Id="rIdmwukaubua9swmkbxjf6ej" Type="http://schemas.openxmlformats.org/officeDocument/2006/relationships/hyperlink" Target="https://dalil.kg/document/157780#pr1" TargetMode="External"/><Relationship Id="rIduecpreleoeuvqidu4_yqr" Type="http://schemas.openxmlformats.org/officeDocument/2006/relationships/hyperlink" Target="https://dalil.kg/document/111125#st_27" TargetMode="External"/><Relationship Id="rIdgiepjfc6hqx7b1he2vxz-" Type="http://schemas.openxmlformats.org/officeDocument/2006/relationships/hyperlink" Target="https://dalil.kg/document/112001" TargetMode="External"/><Relationship Id="rIdhrvex_o9ixua8iw9i0uu6" Type="http://schemas.openxmlformats.org/officeDocument/2006/relationships/hyperlink" Target="https://dalil.kg/document/14106" TargetMode="External"/><Relationship Id="rId8a9dgtt_tfij6v1r5otvt" Type="http://schemas.openxmlformats.org/officeDocument/2006/relationships/hyperlink" Target="https://dalil.kg/document/15720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zuxplbrdtrwlfjcxoke" Type="http://schemas.openxmlformats.org/officeDocument/2006/relationships/hyperlink" Target="https://dalil.kg/document/157780" TargetMode="External"/><Relationship Id="rIdkai_tv_cfzqusxpzn7j5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2026-09-24T12:07:52.104Z</dcterms:created>
  <dcterms:modified xsi:type="dcterms:W3CDTF">2026-09-24T12:07:52.104Z</dcterms:modified>
</cp:coreProperties>
</file>

<file path=docProps/custom.xml><?xml version="1.0" encoding="utf-8"?>
<Properties xmlns="http://schemas.openxmlformats.org/officeDocument/2006/custom-properties" xmlns:vt="http://schemas.openxmlformats.org/officeDocument/2006/docPropsVTypes"/>
</file>