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ПОСТАНОВЛЕНИЕ ПРАВИТЕЛЬСТВА КЫРГЫЗСКОЙ РЕСПУБЛИКИ</w:t>
      </w:r>
    </w:p>
    <w:p>
      <w:pPr>
        <w:spacing w:after="240"/>
        <w:jc w:val="both"/>
      </w:pPr>
      <w:r>
        <w:rPr>
          <w:rFonts w:ascii="Arial" w:cs="Arial" w:eastAsia="Arial" w:hAnsi="Arial"/>
          <w:sz w:val="24"/>
          <w:szCs w:val="24"/>
        </w:rPr>
        <w:t xml:space="preserve">от 18 августа 2020 года № 425</w:t>
      </w:r>
    </w:p>
    <w:p>
      <w:pPr>
        <w:spacing w:after="120"/>
        <w:jc w:val="both"/>
      </w:pPr>
      <w:r>
        <w:rPr>
          <w:rFonts w:ascii="Arial" w:cs="Arial" w:eastAsia="Arial" w:hAnsi="Arial"/>
          <w:sz w:val="28"/>
          <w:szCs w:val="28"/>
        </w:rPr>
        <w:t xml:space="preserve">О заключении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по вопросам деятельности политических партий"</w:t>
      </w:r>
    </w:p>
    <w:p>
      <w:pPr>
        <w:spacing w:after="120"/>
        <w:jc w:val="both"/>
      </w:pPr>
      <w:r>
        <w:rPr>
          <w:rFonts w:ascii="Arial" w:cs="Arial" w:eastAsia="Arial" w:hAnsi="Arial"/>
          <w:sz w:val="24"/>
          <w:szCs w:val="24"/>
        </w:rPr>
        <w:t xml:space="preserve">В соответствии со </w:t>
      </w:r>
      <w:hyperlink w:history="1" r:id="rIdtthvaplulydfjca59_865">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ictbxgddpqhgzni1iffga">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по вопросам деятельности политических партий", инициированный депутатом Жогорку Кенеша Кыргызской Республики Алтыбаевой А.Т.</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 министр</w:t>
      </w:r>
      <w:r>
        <w:rPr>
          <w:rFonts w:ascii="Arial" w:cs="Arial" w:eastAsia="Arial" w:hAnsi="Arial"/>
          <w:sz w:val="24"/>
          <w:szCs w:val="24"/>
        </w:rPr>
        <w:t xml:space="preserve">	</w:t>
      </w:r>
      <w:r>
        <w:rPr>
          <w:rFonts w:ascii="Arial" w:cs="Arial" w:eastAsia="Arial" w:hAnsi="Arial"/>
          <w:b/>
          <w:bCs/>
          <w:sz w:val="24"/>
          <w:szCs w:val="24"/>
        </w:rPr>
        <w:t xml:space="preserve">К.А. Боронов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Одобрено</w:t>
      </w:r>
    </w:p>
    <w:p>
      <w:pPr>
        <w:spacing w:after="400" w:before="400"/>
        <w:jc w:val="center"/>
      </w:pPr>
      <w:r>
        <w:rPr>
          <w:rFonts w:ascii="Arial" w:cs="Arial" w:eastAsia="Arial" w:hAnsi="Arial"/>
          <w:b/>
          <w:bCs/>
          <w:sz w:val="32"/>
          <w:szCs w:val="32"/>
        </w:rPr>
        <w:t xml:space="preserve">ЗАКЛЮЧЕНИЕ</w:t>
      </w:r>
    </w:p>
    <w:p>
      <w:pPr>
        <w:spacing w:after="400" w:before="400"/>
        <w:jc w:val="center"/>
      </w:pPr>
      <w:r>
        <w:rPr>
          <w:rFonts w:ascii="Arial" w:cs="Arial" w:eastAsia="Arial" w:hAnsi="Arial"/>
          <w:b/>
          <w:bCs/>
          <w:sz w:val="32"/>
          <w:szCs w:val="32"/>
        </w:rPr>
        <w:t xml:space="preserve">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по вопросам деятельности политических партий"</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hyperlink w:history="1" r:id="rIdeokjpqnc60v6inu6yddpu">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рассмотрев проект Закона Кыргызской Республики "О внесении изменений в некоторые законодательные акты Кыргызской Республики по вопросам деятельности политических партий", инициированный депутатом Жогорку Кенеша Кыргызской Республики Алтыбаевой А.Т., отмечает следующее.</w:t>
      </w:r>
    </w:p>
    <w:p>
      <w:pPr>
        <w:spacing w:after="60"/>
        <w:ind w:firstLine="567"/>
        <w:jc w:val="both"/>
      </w:pPr>
      <w:r>
        <w:rPr>
          <w:rFonts w:ascii="Arial" w:cs="Arial" w:eastAsia="Arial" w:hAnsi="Arial"/>
          <w:sz w:val="24"/>
          <w:szCs w:val="24"/>
        </w:rPr>
        <w:t xml:space="preserve">1. Статьей 1 представленного законопроекта предлагается внести изменение в </w:t>
      </w:r>
      <w:hyperlink w:history="1" r:id="rIdgkmqjldzmp8rd6ycmqljt">
        <w:r>
          <w:rPr>
            <w:rFonts w:ascii="Arial" w:cs="Arial" w:eastAsia="Arial" w:hAnsi="Arial"/>
            <w:color w:val="1D4ED8"/>
            <w:sz w:val="24"/>
            <w:szCs w:val="24"/>
            <w:u w:val="single"/>
          </w:rPr>
          <w:t xml:space="preserve">статью 10</w:t>
        </w:r>
      </w:hyperlink>
      <w:r>
        <w:rPr>
          <w:rFonts w:ascii="Arial" w:cs="Arial" w:eastAsia="Arial" w:hAnsi="Arial"/>
          <w:sz w:val="24"/>
          <w:szCs w:val="24"/>
        </w:rPr>
        <w:t xml:space="preserve"> Бюджетного кодекса Кыргызской Республики и дополнить частью 3, согласно которой "из республиканского бюджета ежегодно выделяются денежные средства политическим партиям при наступлении условий, предусмотренных законом Кыргызской Республики, регулирующим деятельность политических партий. Общий объем средств республиканского бюджета, выделяемого политическим партиям, ежегодно утверждается законом о республиканском бюджете и составляет не менее 0,01 процента от объема расходов республиканского бюджета".</w:t>
      </w:r>
    </w:p>
    <w:p>
      <w:pPr>
        <w:spacing w:after="60"/>
        <w:ind w:firstLine="567"/>
        <w:jc w:val="both"/>
      </w:pPr>
      <w:r>
        <w:rPr>
          <w:rFonts w:ascii="Arial" w:cs="Arial" w:eastAsia="Arial" w:hAnsi="Arial"/>
          <w:sz w:val="24"/>
          <w:szCs w:val="24"/>
        </w:rPr>
        <w:t xml:space="preserve">Согласно части 3 </w:t>
      </w:r>
      <w:r>
        <w:rPr>
          <w:rFonts w:ascii="Arial" w:cs="Arial" w:eastAsia="Arial" w:hAnsi="Arial"/>
          <w:sz w:val="24"/>
          <w:szCs w:val="24"/>
        </w:rPr>
        <w:t xml:space="preserve">статьи 80</w:t>
      </w:r>
      <w:r>
        <w:rPr>
          <w:rFonts w:ascii="Arial" w:cs="Arial" w:eastAsia="Arial" w:hAnsi="Arial"/>
          <w:sz w:val="24"/>
          <w:szCs w:val="24"/>
        </w:rPr>
        <w:t xml:space="preserve"> Конституции Кыргызской Республики проекты законов, предусматривающие увеличение расходов, покрываемых за счет государственного бюджета, могут быть приняты Жогорку Кенешем после определения Правительством источника финансирования.</w:t>
      </w:r>
    </w:p>
    <w:p>
      <w:pPr>
        <w:spacing w:after="60"/>
        <w:ind w:firstLine="567"/>
        <w:jc w:val="both"/>
      </w:pPr>
      <w:r>
        <w:rPr>
          <w:rFonts w:ascii="Arial" w:cs="Arial" w:eastAsia="Arial" w:hAnsi="Arial"/>
          <w:sz w:val="24"/>
          <w:szCs w:val="24"/>
        </w:rPr>
        <w:t xml:space="preserve">В соответствии с </w:t>
      </w:r>
      <w:hyperlink w:history="1" r:id="rIdcgbsgnichsgddhivtjta6">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политических партиях" под политической партией подразумевается добровольное объединение граждан Кыргызской Республики, которые имеют общие политические цели и задачи, способствующие осуществлению политической воли определенной части населения, и принимают участие через своих представителей в управлении делами государства.</w:t>
      </w:r>
    </w:p>
    <w:p>
      <w:pPr>
        <w:spacing w:after="60"/>
        <w:ind w:firstLine="567"/>
        <w:jc w:val="both"/>
      </w:pPr>
      <w:r>
        <w:rPr>
          <w:rFonts w:ascii="Arial" w:cs="Arial" w:eastAsia="Arial" w:hAnsi="Arial"/>
          <w:sz w:val="24"/>
          <w:szCs w:val="24"/>
        </w:rPr>
        <w:t xml:space="preserve">Необходимо отметить, что в </w:t>
      </w:r>
      <w:hyperlink w:history="1" r:id="rIdsc4o-pkv32fivlpxgvcq1">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политических партиях" не предусмотрена норма, регулирующая вопрос финансирования деятельности политических партий за счет средств государственного бюджета.</w:t>
      </w:r>
    </w:p>
    <w:p>
      <w:pPr>
        <w:spacing w:after="60"/>
        <w:ind w:firstLine="567"/>
        <w:jc w:val="both"/>
      </w:pPr>
      <w:r>
        <w:rPr>
          <w:rFonts w:ascii="Arial" w:cs="Arial" w:eastAsia="Arial" w:hAnsi="Arial"/>
          <w:sz w:val="24"/>
          <w:szCs w:val="24"/>
        </w:rPr>
        <w:t xml:space="preserve">Согласно </w:t>
      </w:r>
      <w:hyperlink w:history="1" r:id="rIdu_dywkhqhmmsgmdwqf6zh">
        <w:r>
          <w:rPr>
            <w:rFonts w:ascii="Arial" w:cs="Arial" w:eastAsia="Arial" w:hAnsi="Arial"/>
            <w:color w:val="1D4ED8"/>
            <w:sz w:val="24"/>
            <w:szCs w:val="24"/>
            <w:u w:val="single"/>
          </w:rPr>
          <w:t xml:space="preserve">статье 16</w:t>
        </w:r>
      </w:hyperlink>
      <w:r>
        <w:rPr>
          <w:rFonts w:ascii="Arial" w:cs="Arial" w:eastAsia="Arial" w:hAnsi="Arial"/>
          <w:sz w:val="24"/>
          <w:szCs w:val="24"/>
        </w:rPr>
        <w:t xml:space="preserve"> Закона Кыргызской Республики "О политических партиях" деятельность политических партий финансируется за счет средств этих партий без выделения ассигнований из государственного бюджета, за исключением финансирования избирательных компаний в соответствии с законом о выборах депутатов.</w:t>
      </w:r>
    </w:p>
    <w:p>
      <w:pPr>
        <w:spacing w:after="60"/>
        <w:ind w:firstLine="567"/>
        <w:jc w:val="both"/>
      </w:pPr>
      <w:r>
        <w:rPr>
          <w:rFonts w:ascii="Arial" w:cs="Arial" w:eastAsia="Arial" w:hAnsi="Arial"/>
          <w:sz w:val="24"/>
          <w:szCs w:val="24"/>
        </w:rPr>
        <w:t xml:space="preserve">Согласно </w:t>
      </w:r>
      <w:hyperlink w:history="1" r:id="rId_g90kapq6ioxile7zdtrh">
        <w:r>
          <w:rPr>
            <w:rFonts w:ascii="Arial" w:cs="Arial" w:eastAsia="Arial" w:hAnsi="Arial"/>
            <w:color w:val="1D4ED8"/>
            <w:sz w:val="24"/>
            <w:szCs w:val="24"/>
            <w:u w:val="single"/>
          </w:rPr>
          <w:t xml:space="preserve">статью 10</w:t>
        </w:r>
      </w:hyperlink>
      <w:r>
        <w:rPr>
          <w:rFonts w:ascii="Arial" w:cs="Arial" w:eastAsia="Arial" w:hAnsi="Arial"/>
          <w:sz w:val="24"/>
          <w:szCs w:val="24"/>
        </w:rPr>
        <w:t xml:space="preserve"> Бюджетного кодекса Кыргызской Республики республиканский бюджет - это совокупность денежных средств, предназначенных для финансового обеспечения задач и функций государственных органов, подведомственных им бюджетных учреждений.</w:t>
      </w:r>
    </w:p>
    <w:p>
      <w:pPr>
        <w:spacing w:after="60"/>
        <w:ind w:firstLine="567"/>
        <w:jc w:val="both"/>
      </w:pPr>
      <w:r>
        <w:rPr>
          <w:rFonts w:ascii="Arial" w:cs="Arial" w:eastAsia="Arial" w:hAnsi="Arial"/>
          <w:sz w:val="24"/>
          <w:szCs w:val="24"/>
        </w:rPr>
        <w:t xml:space="preserve">В этой связи, предлагаемые изменения, предусмотренные статьей 1 проекта, нецелесообразны, поскольку принятие настоящего законопроекта окажет нагрузку на республиканский бюджет и потребует дополнительного выделения политическим партиям финансовых средств из бюджета на ежегодной основе.</w:t>
      </w:r>
    </w:p>
    <w:p>
      <w:pPr>
        <w:spacing w:after="60"/>
        <w:ind w:firstLine="567"/>
        <w:jc w:val="both"/>
      </w:pPr>
      <w:r>
        <w:rPr>
          <w:rFonts w:ascii="Arial" w:cs="Arial" w:eastAsia="Arial" w:hAnsi="Arial"/>
          <w:sz w:val="24"/>
          <w:szCs w:val="24"/>
        </w:rPr>
        <w:t xml:space="preserve">Кроме того, согласно </w:t>
      </w:r>
      <w:hyperlink w:history="1" r:id="rId1licqjyo8tx9cu05h9wzh">
        <w:r>
          <w:rPr>
            <w:rFonts w:ascii="Arial" w:cs="Arial" w:eastAsia="Arial" w:hAnsi="Arial"/>
            <w:color w:val="1D4ED8"/>
            <w:sz w:val="24"/>
            <w:szCs w:val="24"/>
            <w:u w:val="single"/>
          </w:rPr>
          <w:t xml:space="preserve">статье 26</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нормативные правовые акты, реализация которых влечет финансирование из государственного бюджета, не подлежат принятию до определения по ним источника финансирования, при этом финансово-экономические расчеты, исходя из которых определяется объем финансирования и возможности республиканского бюджета, отсутствуют.</w:t>
      </w:r>
    </w:p>
    <w:p>
      <w:pPr>
        <w:spacing w:after="60"/>
        <w:ind w:firstLine="567"/>
        <w:jc w:val="both"/>
      </w:pPr>
      <w:r>
        <w:rPr>
          <w:rFonts w:ascii="Arial" w:cs="Arial" w:eastAsia="Arial" w:hAnsi="Arial"/>
          <w:sz w:val="24"/>
          <w:szCs w:val="24"/>
        </w:rPr>
        <w:t xml:space="preserve">2. Статьей 2 представленного законопроекта предлагается дополнить </w:t>
      </w:r>
      <w:hyperlink w:history="1" r:id="rIdbd03mxbunwjdxkvketyuw">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нарушениях нормой, согласно которой "непредставление избирательной комиссии политической партией ежегодного сводного финансового отчета о поступлении и расходовании средств в установленные сроки влечет предупреждение либо наложение штрафа 1 категории".</w:t>
      </w:r>
    </w:p>
    <w:p>
      <w:pPr>
        <w:spacing w:after="60"/>
        <w:ind w:firstLine="567"/>
        <w:jc w:val="both"/>
      </w:pPr>
      <w:hyperlink w:history="1" r:id="rIdbfyvgx_g-2m6dqgsskcoa">
        <w:r>
          <w:rPr>
            <w:rFonts w:ascii="Arial" w:cs="Arial" w:eastAsia="Arial" w:hAnsi="Arial"/>
            <w:color w:val="1D4ED8"/>
            <w:sz w:val="24"/>
            <w:szCs w:val="24"/>
            <w:u w:val="single"/>
          </w:rPr>
          <w:t xml:space="preserve">Статьей 22</w:t>
        </w:r>
      </w:hyperlink>
      <w:r>
        <w:rPr>
          <w:rFonts w:ascii="Arial" w:cs="Arial" w:eastAsia="Arial" w:hAnsi="Arial"/>
          <w:sz w:val="24"/>
          <w:szCs w:val="24"/>
        </w:rPr>
        <w:t xml:space="preserve"> Закона Кыргызской Республики "О политических партиях" предусмотрено, что контроль за источниками доходов политической партии, размерами полученных ею средств и уплатой налогов осуществляют территориальные органы государственной налоговой службы Кыргызской Республики.</w:t>
      </w:r>
    </w:p>
    <w:p>
      <w:pPr>
        <w:spacing w:after="60"/>
        <w:ind w:firstLine="567"/>
        <w:jc w:val="both"/>
      </w:pPr>
      <w:r>
        <w:rPr>
          <w:rFonts w:ascii="Arial" w:cs="Arial" w:eastAsia="Arial" w:hAnsi="Arial"/>
          <w:sz w:val="24"/>
          <w:szCs w:val="24"/>
        </w:rPr>
        <w:t xml:space="preserve">Как следует из справки-обоснования, настоящий законопроект разработан для применения законодательства о политических партиях, однако в силу требований действующего избирательного законодательства Кыргызской Республики предлагаемая формулировка не содержит сведений относительно источников поступления средств, а также наделяет уполномоченный государственный орган дискреционными полномочиями при применении санкции правовой нормы.</w:t>
      </w:r>
    </w:p>
    <w:p>
      <w:pPr>
        <w:spacing w:after="60"/>
        <w:ind w:firstLine="567"/>
        <w:jc w:val="both"/>
      </w:pPr>
      <w:r>
        <w:rPr>
          <w:rFonts w:ascii="Arial" w:cs="Arial" w:eastAsia="Arial" w:hAnsi="Arial"/>
          <w:sz w:val="24"/>
          <w:szCs w:val="24"/>
        </w:rPr>
        <w:t xml:space="preserve">Согласно части 3 </w:t>
      </w:r>
      <w:hyperlink w:history="1" r:id="rIdujoapybe9lco-jxphmncz">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термины и понятия, используемые в тексте нормативного правового акта, должны быть понятными и однозначными.</w:t>
      </w:r>
    </w:p>
    <w:p>
      <w:pPr>
        <w:spacing w:after="60"/>
        <w:ind w:firstLine="567"/>
        <w:jc w:val="both"/>
      </w:pPr>
      <w:r>
        <w:rPr>
          <w:rFonts w:ascii="Arial" w:cs="Arial" w:eastAsia="Arial" w:hAnsi="Arial"/>
          <w:sz w:val="24"/>
          <w:szCs w:val="24"/>
        </w:rPr>
        <w:t xml:space="preserve">3. Статьей 3 проекта предлагается дополнить </w:t>
      </w:r>
      <w:hyperlink w:history="1" r:id="rIdmtwumpx8ivkx3hp6f0-ce">
        <w:r>
          <w:rPr>
            <w:rFonts w:ascii="Arial" w:cs="Arial" w:eastAsia="Arial" w:hAnsi="Arial"/>
            <w:color w:val="1D4ED8"/>
            <w:sz w:val="24"/>
            <w:szCs w:val="24"/>
            <w:u w:val="single"/>
          </w:rPr>
          <w:t xml:space="preserve">статью 7</w:t>
        </w:r>
      </w:hyperlink>
      <w:r>
        <w:rPr>
          <w:rFonts w:ascii="Arial" w:cs="Arial" w:eastAsia="Arial" w:hAnsi="Arial"/>
          <w:sz w:val="24"/>
          <w:szCs w:val="24"/>
        </w:rPr>
        <w:t xml:space="preserve"> Закона Кыргызской Республики "Об избирательных комиссиях по проведению выборов и референдумов Кыргызской Республики" и наделить Центральную комиссию по выборам и проведению референдумов полномочиями по осуществлению проверки ежегодных сводных финансовых отчетов и сведений о поступлении и расходовании средств политических партий, в том числе имущества, получаемого политическими партиями в виде вступительных и членских взносов, пожертвований граждан и юридических лиц.</w:t>
      </w:r>
    </w:p>
    <w:p>
      <w:pPr>
        <w:spacing w:after="60"/>
        <w:ind w:firstLine="567"/>
        <w:jc w:val="both"/>
      </w:pPr>
      <w:r>
        <w:rPr>
          <w:rFonts w:ascii="Arial" w:cs="Arial" w:eastAsia="Arial" w:hAnsi="Arial"/>
          <w:sz w:val="24"/>
          <w:szCs w:val="24"/>
        </w:rPr>
        <w:t xml:space="preserve">По предлагаемым поправкам в статьи 2 и 3 проекта отмечаем, что в </w:t>
      </w:r>
      <w:hyperlink w:history="1" r:id="rIdwibz229p_8ajzgvsptzos">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политических партиях" отсутствует норма, наделяющая Центральную комиссию по выборам и проведению референдумов полномочиями по осуществлению проверки ежегодных сводных финансовых отчетов и сведений о поступлении и расходовании средств политических партий, в том числе имущества, получаемого политическими партиями в виде вступительных и членских взносов, пожертвований граждан и юридических лиц, и норма, обязывающая политические партии предоставлять избирательной комиссии ежегодный сводный финансовый отчет о поступлении и расходовании средств.</w:t>
      </w:r>
    </w:p>
    <w:p>
      <w:pPr>
        <w:spacing w:after="60"/>
        <w:ind w:firstLine="567"/>
        <w:jc w:val="both"/>
      </w:pPr>
      <w:r>
        <w:rPr>
          <w:rFonts w:ascii="Arial" w:cs="Arial" w:eastAsia="Arial" w:hAnsi="Arial"/>
          <w:sz w:val="24"/>
          <w:szCs w:val="24"/>
        </w:rPr>
        <w:t xml:space="preserve">В соответствии со </w:t>
      </w:r>
      <w:hyperlink w:history="1" r:id="rIdbbeddhw2a-s5xbwzp13js">
        <w:r>
          <w:rPr>
            <w:rFonts w:ascii="Arial" w:cs="Arial" w:eastAsia="Arial" w:hAnsi="Arial"/>
            <w:color w:val="1D4ED8"/>
            <w:sz w:val="24"/>
            <w:szCs w:val="24"/>
            <w:u w:val="single"/>
          </w:rPr>
          <w:t xml:space="preserve">статьей 22</w:t>
        </w:r>
      </w:hyperlink>
      <w:r>
        <w:rPr>
          <w:rFonts w:ascii="Arial" w:cs="Arial" w:eastAsia="Arial" w:hAnsi="Arial"/>
          <w:sz w:val="24"/>
          <w:szCs w:val="24"/>
        </w:rPr>
        <w:t xml:space="preserve"> Закона Кыргызской Республики "О политических партиях" предусмотрено, что контроль за источниками доходов политической партии, размерами полученных ею средств и уплатой налогов осуществляют территориальные органы государственной налоговой службы Кыргызской Республики.</w:t>
      </w:r>
    </w:p>
    <w:p>
      <w:pPr>
        <w:spacing w:after="60"/>
        <w:ind w:firstLine="567"/>
        <w:jc w:val="both"/>
      </w:pPr>
      <w:r>
        <w:rPr>
          <w:rFonts w:ascii="Arial" w:cs="Arial" w:eastAsia="Arial" w:hAnsi="Arial"/>
          <w:sz w:val="24"/>
          <w:szCs w:val="24"/>
        </w:rPr>
        <w:t xml:space="preserve">4. Статьей 5 представленного законопроекта Правительству Кыргызской Республики и Центральной комиссии по выборам и проведению референдумов Кыргызской Республики поручается принести свои нормативные правовые акты в соответствие с настоящим Законом, и принять необходимые нормативные правовые акты, вытекающие из настоящего Закона.</w:t>
      </w:r>
    </w:p>
    <w:p>
      <w:pPr>
        <w:spacing w:after="60"/>
        <w:ind w:firstLine="567"/>
        <w:jc w:val="both"/>
      </w:pPr>
      <w:r>
        <w:rPr>
          <w:rFonts w:ascii="Arial" w:cs="Arial" w:eastAsia="Arial" w:hAnsi="Arial"/>
          <w:sz w:val="24"/>
          <w:szCs w:val="24"/>
        </w:rPr>
        <w:t xml:space="preserve">В соответствии со </w:t>
      </w:r>
      <w:hyperlink w:history="1" r:id="rIdd1yaje42shlyi08ovm13c">
        <w:r>
          <w:rPr>
            <w:rFonts w:ascii="Arial" w:cs="Arial" w:eastAsia="Arial" w:hAnsi="Arial"/>
            <w:color w:val="1D4ED8"/>
            <w:sz w:val="24"/>
            <w:szCs w:val="24"/>
            <w:u w:val="single"/>
          </w:rPr>
          <w:t xml:space="preserve">статьей 24</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в случаях, если для применения нормативного правового акта необходимо внесение изменений и дополнений в другие нормативные правовые акты, к вносимому проекту нормативного правового акта должны быть приложены проекты нормативных правовых актов с указанными изменениями и дополнениями.</w:t>
      </w:r>
    </w:p>
    <w:p>
      <w:pPr>
        <w:spacing w:after="60"/>
        <w:ind w:firstLine="567"/>
        <w:jc w:val="both"/>
      </w:pPr>
      <w:r>
        <w:rPr>
          <w:rFonts w:ascii="Arial" w:cs="Arial" w:eastAsia="Arial" w:hAnsi="Arial"/>
          <w:sz w:val="24"/>
          <w:szCs w:val="24"/>
        </w:rPr>
        <w:t xml:space="preserve">Вместе с тем, информация о нормативных правовых актах, подлежащих пересмотру в случае принятия рассматриваемого проекта Закона, не отражена и в справке-обосновании к законопроекту.</w:t>
      </w:r>
    </w:p>
    <w:p>
      <w:pPr>
        <w:spacing w:after="60"/>
        <w:ind w:firstLine="567"/>
        <w:jc w:val="both"/>
      </w:pPr>
      <w:r>
        <w:rPr>
          <w:rFonts w:ascii="Arial" w:cs="Arial" w:eastAsia="Arial" w:hAnsi="Arial"/>
          <w:sz w:val="24"/>
          <w:szCs w:val="24"/>
        </w:rPr>
        <w:t xml:space="preserve">Ввиду этого предлагаем дополнить справку-обоснование сведениями о необходимости разработки или внесения соответствующих поправок в нормативные правовые акты Правительства.</w:t>
      </w:r>
    </w:p>
    <w:p>
      <w:pPr>
        <w:spacing w:after="60"/>
        <w:ind w:firstLine="567"/>
        <w:jc w:val="both"/>
      </w:pPr>
      <w:r>
        <w:rPr>
          <w:rFonts w:ascii="Arial" w:cs="Arial" w:eastAsia="Arial" w:hAnsi="Arial"/>
          <w:sz w:val="24"/>
          <w:szCs w:val="24"/>
        </w:rPr>
        <w:t xml:space="preserve">На основании изложенного Правительство Кыргызской Республики считает нецелесообразным принятие представленного проекта Закона Кыргызской Республики в предлагаемой редакции.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rl5jmp0hei6k7pkf4ysg">
      <w:r>
        <w:rPr>
          <w:rFonts w:ascii="Arial" w:cs="Arial" w:eastAsia="Arial" w:hAnsi="Arial"/>
          <w:color w:val="132D3F"/>
          <w:sz w:val="16"/>
          <w:szCs w:val="16"/>
          <w:u w:val="single"/>
        </w:rPr>
        <w:t xml:space="preserve">dalil.kg/document/157794</w:t>
      </w:r>
    </w:hyperlink>
  </w:p>
  <w:p>
    <w:pPr>
      <w:spacing w:after="0" w:before="40"/>
      <w:jc w:val="center"/>
    </w:pPr>
    <w:hyperlink w:history="1" r:id="rId5-5a7svnmh8odynwkkoe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thvaplulydfjca59_865" Type="http://schemas.openxmlformats.org/officeDocument/2006/relationships/hyperlink" Target="https://dalil.kg/document/203685#st_31" TargetMode="External"/><Relationship Id="rIdictbxgddpqhgzni1iffga" Type="http://schemas.openxmlformats.org/officeDocument/2006/relationships/hyperlink" Target="https://dalil.kg/document/157794#pr" TargetMode="External"/><Relationship Id="rIdeokjpqnc60v6inu6yddpu" Type="http://schemas.openxmlformats.org/officeDocument/2006/relationships/hyperlink" Target="https://dalil.kg/document/203685#st_31" TargetMode="External"/><Relationship Id="rIdgkmqjldzmp8rd6ycmqljt" Type="http://schemas.openxmlformats.org/officeDocument/2006/relationships/hyperlink" Target="https://dalil.kg/document/111338#st_10" TargetMode="External"/><Relationship Id="rIdcgbsgnichsgddhivtjta6" Type="http://schemas.openxmlformats.org/officeDocument/2006/relationships/hyperlink" Target="https://dalil.kg/document/215" TargetMode="External"/><Relationship Id="rIdsc4o-pkv32fivlpxgvcq1" Type="http://schemas.openxmlformats.org/officeDocument/2006/relationships/hyperlink" Target="https://dalil.kg/document/215" TargetMode="External"/><Relationship Id="rIdu_dywkhqhmmsgmdwqf6zh" Type="http://schemas.openxmlformats.org/officeDocument/2006/relationships/hyperlink" Target="https://dalil.kg/document/215#st_16" TargetMode="External"/><Relationship Id="rId_g90kapq6ioxile7zdtrh" Type="http://schemas.openxmlformats.org/officeDocument/2006/relationships/hyperlink" Target="https://dalil.kg/document/111338#st_10" TargetMode="External"/><Relationship Id="rId1licqjyo8tx9cu05h9wzh" Type="http://schemas.openxmlformats.org/officeDocument/2006/relationships/hyperlink" Target="https://dalil.kg/document/202591#st_26" TargetMode="External"/><Relationship Id="rIdbd03mxbunwjdxkvketyuw" Type="http://schemas.openxmlformats.org/officeDocument/2006/relationships/hyperlink" Target="https://dalil.kg/document/111565" TargetMode="External"/><Relationship Id="rIdbfyvgx_g-2m6dqgsskcoa" Type="http://schemas.openxmlformats.org/officeDocument/2006/relationships/hyperlink" Target="https://dalil.kg/document/215#st_22" TargetMode="External"/><Relationship Id="rIdujoapybe9lco-jxphmncz" Type="http://schemas.openxmlformats.org/officeDocument/2006/relationships/hyperlink" Target="https://dalil.kg/document/202591" TargetMode="External"/><Relationship Id="rIdmtwumpx8ivkx3hp6f0-ce" Type="http://schemas.openxmlformats.org/officeDocument/2006/relationships/hyperlink" Target="https://dalil.kg/document/203100" TargetMode="External"/><Relationship Id="rIdwibz229p_8ajzgvsptzos" Type="http://schemas.openxmlformats.org/officeDocument/2006/relationships/hyperlink" Target="https://dalil.kg/document/215" TargetMode="External"/><Relationship Id="rIdbbeddhw2a-s5xbwzp13js" Type="http://schemas.openxmlformats.org/officeDocument/2006/relationships/hyperlink" Target="https://dalil.kg/document/215#st_22" TargetMode="External"/><Relationship Id="rIdd1yaje42shlyi08ovm13c" Type="http://schemas.openxmlformats.org/officeDocument/2006/relationships/hyperlink" Target="https://dalil.kg/document/202591#st_24" TargetMode="External"/><Relationship Id="rId8" Type="http://schemas.openxmlformats.org/officeDocument/2006/relationships/image" Target="media/8de64316e95979c063c17bcd5380dc052a2594e9.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rl5jmp0hei6k7pkf4ysg" Type="http://schemas.openxmlformats.org/officeDocument/2006/relationships/hyperlink" Target="https://dalil.kg/document/157794" TargetMode="External"/><Relationship Id="rId5-5a7svnmh8odynwkkoe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2026-10-01T19:19:17.343Z</dcterms:created>
  <dcterms:modified xsi:type="dcterms:W3CDTF">2026-10-01T19:19:17.343Z</dcterms:modified>
</cp:coreProperties>
</file>

<file path=docProps/custom.xml><?xml version="1.0" encoding="utf-8"?>
<Properties xmlns="http://schemas.openxmlformats.org/officeDocument/2006/custom-properties" xmlns:vt="http://schemas.openxmlformats.org/officeDocument/2006/docPropsVTypes"/>
</file>