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7ejpiwm1_zru_8b-e6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июня 2020 года № 343)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оформления и применения счета-фактуры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zdq6f2yghabcmpms7ip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04-октября 2021-года 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оформления и применения счета-фактуры в виде электронного документа налогоплательщиками, применяющими счета-фактуры в виде электронного документа 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склад</w:t>
      </w:r>
      <w:r>
        <w:rPr>
          <w:rFonts w:ascii="Arial" w:cs="Arial" w:eastAsia="Arial" w:hAnsi="Arial"/>
          <w:sz w:val="24"/>
          <w:szCs w:val="24"/>
        </w:rPr>
        <w:t xml:space="preserve"> - компонент информационной системы налогового администрирования Кыргызской Республики, позволяющий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счетов-фактур в виде электронного документа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используемой органами налоговой службы (далее - ИС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субъект, обязанный применять счета-фактуры в виде электронного документа,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налоговым законодательством Кыргызской Республики и/или нормативными правовыми актами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счет-фактура в виде электронного документа (далее -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счет-фактура на бумажном носителе (далее - ЭСФ на бумажном носителе).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оформлению счета-фактуры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Стоимостные показатели, включая цену товара, работы, услуги, а также суммы налогов, указываются в счете-фактуре в национальной валюте Кыргызской Республики - в сомах и тыйынах.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(поставке) товара, работы/услуги на экспорт, стоимостные показатели (цена, стоимость, суммы налогов, а также общая стоимость товара, работы/услуги) указываются в счете-фактуре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 второй итоговой строке стоимостные показатели (стоимость и общая стоимость) указываются в валюте согласно заключенному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счета-фактуры производится один раз, в конце месяца, на основе накопленной месячной учетной документации в соответствии с налоговой политикой, утвержденной налогоплательщиком: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wsortdtnvqxkycexgj6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безвозмездной реализации (поставке) товаров, работ и/или услуг населению в ходе рекламных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оказании платных услуг населению через банки/или ведении расчетов через электронный терминал и банкоматы.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счет-фактуре, оформленном в случаях, предусмотренных пунктом 7 настоящего Порядка, не учитываются учетные документации, за которые были оформлены отдельные счета-фактуры по требованию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ЭСФ, кроме обязательных реквизитов, установленных настоящим Порядком, может содержать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поставки товара, включенного в Перечень маркируемых товаров и/или товаров, подлежащих прослеживаемости в рамках Евразийского экономического союза (далее - ЕАЭС), утверждаемый решением Евразийской экономической комиссии, оформляется отдельная счет-фактура.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Счет-фактура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как налогоплательщика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заполнения формы счета-фактуры в виде электронного документа на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Ячейка 101 "Статус" заполняется ИС ЭСФ автоматически и может содержать одну из следующих записей: первоначальный (принят/отклонен), отозванный, корректировочный (принят/отклонен).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Статусы "новый" и "отправленный" являются промежуточными и означают что: "новый" - ЭСФ сформирован и не подписан поставщиком, "отправленный" - ЭСФ сформирован, подписан и отправлен поставщиком и еще не рассмотрен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201 указывается идентификационный номер налогоплательщика (далее - ИНН) - поставщика товара, то есть организации или индивидуального предпринимателя (далее - ИП).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202 указываются следующие реквизиты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в случае если поставщиком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ИП, в случае если поставщиком является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ячейка должна быть также заполнена,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филиал вправе использовать отдельную электронную подпись, полученную в порядке, установленном законодательством Кыргызской Республики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реализация (поставка) товара осуществляется самим поставщиком,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205 указывается юридический адрес или фактическое местонахождение поставщика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206 указываются код и наименование налогового органа по месту налоговой регистрации поставщика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207 указываются банковский идентификационный код  (далее - БИК),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поставщик для оплаты поставки не использовал банковский счет,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208 указывается номер счета поставщика в банке. Данная ячейка не заполняется, если ячейка 207 не заполнена.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301 указывается ИНН покупателя товара,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(четырнадцать)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(четырнадцать)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или при оформлении реализации через контрольно-кассовые машины (далее - ККМ),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в случае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в случае если покупателем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абзац четвертый утратил силу в соответствии с постановлением Кабинета Министров от </w:t>
      </w:r>
      <w:hyperlink w:history="1" r:id="rIdkheoc-xv_1mqhz7u-s-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ЭСФ для отражения реализации через ККМ указывается запись "ККМ".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ячейках 303 и 304 указываются ИНН и наименование филиала покупателя, в случае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реализация (поставка) товара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305 указывается юридический адрес или фактическое местонахождение покупателя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306 указываются код и наименование налогового органа по месту налоговой регистрации покупателя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307 указываются БИК и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оплаты поставки не использовался банковский счет покупателя,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308 указывается номер счета в банке. Данная ячейка не заполняется, если ячейка 307 не заполнена.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Заполнение раздела 2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401 указывается дата фактической реализации (поставки)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корректировочного ЭСФ указывается дата корректировки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дату фактической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402 указывается вид реализации (поставки)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облагаемая по ставке 12%;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облагаемая по ставке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необлагаемая.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безвозмездная;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(подпункт «г» утратил силу в соответствии с постановлением Кабинета Министров от </w:t>
      </w:r>
      <w:hyperlink w:history="1" r:id="rIdpztxyqxlgzbikjt08kp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404 указывается номер из учетной бухгалтерской системы налогоплательщика, или иная информация необходимая налогоплательщику для удобства работы с ЭСФ.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405 указываются дата и номер договора (контракта), на основании которого осуществляется реализация (поставка) товара, при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Ячейки 406 и 407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 или частичном возврате товара, за исключением ввоза товара в соответствии с таможенной процедурой реимпорта, вывезенного ранее в соответствии с таможенной процедурой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изменении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(подпункт «3» утратил силу в соответствии с постановлением Кабинета Министров от </w:t>
      </w:r>
      <w:hyperlink w:history="1" r:id="rIdhx2bqpi9dfsboltc_d4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возврате оплаты за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оформлении ЭСФ, в случае, указанном в пункте 32 настоящего Порядка,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оформления ЭСФ, к которому оформляется корректировочный ЭСФ, а также причины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по которым корректируется поставка;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ЭСФ, в зависимости от причин корректировки размера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поставки производится в сторону уменьшения, то размеры количественных и стоимостных показателей указываются со знаком минус "-", если в сторону увеличения - со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или частичном возврате товаров размеры количественных и стоимостных показателей указываются со знаком минус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Заполнение раздела 3 "Информация о товаре"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разделе 3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валюты и официальный курс валюты Национального банка Кыргызской Республики на день оформления ЭСФ, при поставке товаров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отметка в ячейке "товар, подлежащий прослеживаемости", при реализации (поставке) товара, подлежащего прослеживаемости согласно праву ЕАЭС и/или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"№ п/п" - порядковый номер строки;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"Код товара" - без пробелов код товарной позиции согласно справочнику товаров в ИС ЭСФ, с количеством знаков не менее десяти;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"Наименование товара" - наименование поставляемого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"Единица измерения" - единица измерения товара. Единица измерения указывается согласно справочнику товаров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"Цена за единицу" - цена за единицу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графе "Количество (объем)" - количество или объем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графе "Стоимость товара без НДС и НсП" - стоимость товара без учета НДС и налога с продаж (далее - НсП);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подграфах "Ставка", "Сумма" графы "НДС" - размер ставки и суммы НДС, соответственно. Итоговая сумма по подграфе "Сумма" заполняется, если товар подлежит налогообложению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товаров одному покупателю с применением различных ставок НДС облагаемым субъектом оформляется ЭСФ отдельно по каждой ставке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подграфах "Ставка", "Сумма" графы "НсП" - размер ставки НсП и суммы НсП, соответственно. Итоговая сумма по подграфе "Сумма" заполняется, если товар подлежит налогообложению НсП.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товаров одному покупателю с применением различных ставок НсП облагаемым субъектом оформляется ЭСФ отдельно по каждой ставке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графе "Общая стоимость товара" - общая стоимость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Кабинета Министров от </w:t>
      </w:r>
      <w:hyperlink w:history="1" r:id="rIdbwhhssam_5cg29zvhuq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осуществления реализации (поставок) товаров, освобожденных или необлагаемых НДС и/или НсП, в подграфах "Ставка" и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Графа "Реквизиты таможенной декларации или ЭСФ" заполняется при реализации товаров подлежащих прослеживаемости в соответствии с правом ЕАЭС и/или Кыргызской Республики. В данной графе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либо регистрационный номер таможенной декларации, согласно которой осуществлен выпуск в свободное обращение товара, импортированного из стран, не являющихся государствами-членами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либо номер ЭСФ, согласно которому товар был приобретен налогоплательщиком, осуществляющим оборот товара, включенного в Перечень товаров, подлежащих прослеживаемости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строки в таможенной декларации, в которой указан ввезенный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товара, не подлежащего прослеживаемости, данная графа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ЭСФ должен быть подписан электронной подписью согласно требованиям налогового законодательства, законодательства об электронной подписи руководителем организации или ИП, или бухгалтером, или налоговым представителем, уполномоченным представлять интересы налогоплательщика на основании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ячейке 450 указываются фамилия, имя и отчество руководителя организации или ИП, или бухгалтера, или налогового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(пункт «39» утратил силу в соответствии с постановлением Кабинета Министров от </w:t>
      </w:r>
      <w:hyperlink w:history="1" r:id="rId-lgexl4m7dnuuc3juz-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заполнения формы счета-фактуры в виде электронного документа на работы и/или услуги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Ячейка 101 "Статус" заполняется ИС ЭСФ автоматически и может содержать одну из следующих записей: оформлен (подтвержден/не подтвержден), аннулирован (отозван/отклонен), корректировочный.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201 указывается ИНН поставщика работы и/или услуги, то есть организации или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ячейке 202 указывается полное наименование организации в соответствии с учредительными документами или фамилия, имя и отчество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самим поставщиком,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205 указывается юридический адрес или фактическое местонахождение поставщика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ячейке 206 указываются код и наименование налогового органа по месту налоговой регистрации поставщика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ячейке 207 указываются БИК и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поставщик для оплаты по данной поставке не использовал банковский счет,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ячейке 208 указывается номер счета поставщика в банке. Данная ячейка не заполняется, если в ячейке 207 не заполнена.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ячейке 301 указывается ИНН покупателя работы и/или услуги,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или при оформлении ЭСФ на услуги, реализованные через ККМ,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если покупателем является ИП или 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оформлении ЭСФ для отражения реализации через ККМ указывается запись "ККМ".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ячейках 303 и 304 указываются ИНН и наименование филиала покупателя,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ячейке 305 указывается юридический адрес или фактическое местонахождение покупателя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ячейке 306 указываются код и наименование налогового органа по месту налоговой регистрации покупателя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307 указываются БИК и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оплаты по данной поставке не использовался банковский счет покупателя,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ячейке 308 указывается номер счета в банке. Данная ячейка не заполняется, если ячейка 307 не заполнена.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Заполнение раздела 2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ячейке 401 указывается дата реализации (поставки) работы и/или услуги согласно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корректировочного ЭСФ указывается дата корректировки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даты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402 указывается вид реализации (поставки) работы и/или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облагаемая 12%;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облагаемая по ставке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необлагаемая.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безвозмездная.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404 указываются дата и номер договора (контракта), на основании которого осуществляется данная реализация (поставка) работы и/или услуги, при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Ячейки 405 и 406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изменении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отказе от выполненных работ и/или оказанных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оплаты за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оформлении ЭСФ в случае, указанном в пункте 60 настоящего Порядка, в обязательном порядке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номер, дата оформления ЭСФ, к которому оформляется корректировочный ЭСФ, а также причины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работ и услуг, по которым корректируется поставка;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ЭСФ, в зависимости от причин корректировки размера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поставки производится в сторону уменьшения, то размеры количественных и стоимостных показателей указываются со знаком минус "-", если в сторону увеличения - со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и/или возврате оплаты от/за работы и/или услуги размеры количественных и стоимостных показателей указываются со знаком минус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ячейке 407 указывается номер из учетной бухгалтерской системы налогоплательщика, или иная информация, необходимая налогоплательщику для удобства работы 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Заполнение раздела 3 "Информация о работе и/или услуге"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разделе 3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валюты и официальный курс валюты Национального банка Кыргызской Республики на день оформления ЭСФ, при поставке работ/услуг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"№ п/п" - порядковый номер строки;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"Код работы и/или услуги" - код работы или услуги на уровне четырех знаков согласно справочнику работ и/или услуг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"Наименование работы и/или услуги" - наименование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графе "Единица измерения" - единица измерения работы и/или услуги. Единица измерения указывается согласно справочнику работ и/или услуг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графе "Цена за единицу" - цена за единицу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графе "Количество (объем)" - количество или объем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"Стоимость работы и/или услуги без НДС и НсП" - стоимость работы и/или услуги без учета НДС и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подграфах "Ставка", "Сумма" графы "НДС" - размер ставки и суммы НДС, соответственно. Итоговая сумма по подграфе "Сумма" заполняется, если работа и/или услуга подлежит налогообложению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работ и/или услуг одному покупателю с применением различных ставок НДС облагаемым субъектом оформляется ЭСФ отдельно по каждой ставке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подграфах "Ставка", "Сумма" графы "НсП" - размер ставки и суммы НсП, соответственно. Итоговая сумма по подграфе "Сумма" заполняется, если работа и/или услуга подлежит налогообложению НсП.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работ и/или услуг одному покупателю с применением различных ставок НсП облагаемым субъектом оформляется ЭСФ отдельно по каждой ставке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графе "Общая стоимость работы и/или услуги" - общая стоимость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осуществления реализации (поставок) работ и/или услуг, освобожденных или необлагаемых НДС и/или НсП, в подграфах "Ставка" и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ЭСФ должен быть подписан электронной подписью согласно требованиям налогового законодательства, законодательства об электронной подписи руководителем организации или ИП или бухгалтером, или налоговым представителем, уполномоченным представлять интересы налогоплательщика на основании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450 указываются фамилия, имя и отчество руководителя организации или ИП, или бухгалтера, или налогового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(пункт «66» утратил силу в соответствии с постановлением Кабинета Министров от </w:t>
      </w:r>
      <w:hyperlink w:history="1" r:id="rIdmfk9zesgqdsmaohm5li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заполнения формы счета-фактуры на бумажном носителе на товары, а также на работы и/или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102 указывается номер ЭСФ на бумажном носителе, выданный налоговым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103 указывается дата оформления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Остальные разделы ЭСФ на бумажном носителе заполняются в соответствии с главами </w:t>
      </w:r>
      <w:hyperlink w:history="1" r:id="rIdil2l3iwrq1mslw8wdn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7ogj8cgkrcjbqc4__6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ЭСФ на бумажном носителе должен быть подписан руководителем организации или ИП, или бухгалтером, или уполномоченным лицом: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ИП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ЭСФ на бумажном носителе ИП заверяется печатью организации, ИП - при ее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Облагаемые субъекты, оказывающие услуги электросвязи, теплоэнергии, электроэнергии, водоснабжения, канализации, а также другие субъекты, оформляющие (выписывающие) ежемесячно более 5000 счетов-фактур, могут проставлять факсимиле на ЭСФ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ejpiwm1_zru_8b-e6fa" Type="http://schemas.openxmlformats.org/officeDocument/2006/relationships/hyperlink" Target="http://kodeks.duckdns.org/document/157799" TargetMode="External"/><Relationship Id="rIdzdq6f2yghabcmpms7ipts" Type="http://schemas.openxmlformats.org/officeDocument/2006/relationships/hyperlink" Target="http://kodeks.duckdns.org/document/158627" TargetMode="External"/><Relationship Id="rIdwsortdtnvqxkycexgj6j0" Type="http://schemas.openxmlformats.org/officeDocument/2006/relationships/hyperlink" Target="http://kodeks.duckdns.org/document/202445" TargetMode="External"/><Relationship Id="rIdkheoc-xv_1mqhz7u-s-de" Type="http://schemas.openxmlformats.org/officeDocument/2006/relationships/hyperlink" Target="http://kodeks.duckdns.org/document/158627" TargetMode="External"/><Relationship Id="rIdpztxyqxlgzbikjt08kpj3" Type="http://schemas.openxmlformats.org/officeDocument/2006/relationships/hyperlink" Target="http://kodeks.duckdns.org/document/158627" TargetMode="External"/><Relationship Id="rIdhx2bqpi9dfsboltc_d4gy" Type="http://schemas.openxmlformats.org/officeDocument/2006/relationships/hyperlink" Target="http://kodeks.duckdns.org/document/158627" TargetMode="External"/><Relationship Id="rIdbwhhssam_5cg29zvhuqf7" Type="http://schemas.openxmlformats.org/officeDocument/2006/relationships/hyperlink" Target="http://kodeks.duckdns.org/document/158627" TargetMode="External"/><Relationship Id="rId-lgexl4m7dnuuc3juz-2v" Type="http://schemas.openxmlformats.org/officeDocument/2006/relationships/hyperlink" Target="http://kodeks.duckdns.org/document/158627" TargetMode="External"/><Relationship Id="rIdmfk9zesgqdsmaohm5lis5" Type="http://schemas.openxmlformats.org/officeDocument/2006/relationships/hyperlink" Target="http://kodeks.duckdns.org/document/158627" TargetMode="External"/><Relationship Id="rIdil2l3iwrq1mslw8wdnryx" Type="http://schemas.openxmlformats.org/officeDocument/2006/relationships/hyperlink" Target="http://kodeks.duckdns.org/document/157801#g3" TargetMode="External"/><Relationship Id="rIdy7ogj8cgkrcjbqc4__6fh" Type="http://schemas.openxmlformats.org/officeDocument/2006/relationships/hyperlink" Target="http://kodeks.duckdns.org/document/157801#g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2026-09-23T10:27:20.601Z</dcterms:created>
  <dcterms:modified xsi:type="dcterms:W3CDTF">2026-09-23T10:27:20.601Z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