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6re8xtdxklpl6p1ihw0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октября 2022 года № 583</w:t>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nyb13t2jo_d3unf0zxqid">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jxvd5mvlmt9tlh04po8hp">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hyperlink w:history="1" r:id="rIdmcnczx4iqzfc3yqi9ag2k">
        <w:r>
          <w:rPr>
            <w:rFonts w:ascii="Arial" w:cs="Arial" w:eastAsia="Arial" w:hAnsi="Arial"/>
            <w:color w:val="1D4ED8"/>
            <w:sz w:val="24"/>
            <w:szCs w:val="24"/>
            <w:u w:val="single"/>
          </w:rPr>
          <w:t xml:space="preserve">О возобновляемых источниках энергии</w:t>
        </w:r>
      </w:hyperlink>
      <w:r>
        <w:rPr>
          <w:rFonts w:ascii="Arial" w:cs="Arial" w:eastAsia="Arial" w:hAnsi="Arial"/>
          <w:sz w:val="24"/>
          <w:szCs w:val="24"/>
        </w:rPr>
        <w:t xml:space="preserve">" и определяет условия и порядок осуществления деятельности по выработке и поставке электрической энергии с использованием возобновляемых источников энергии в рамках установленных квот, вне квот, на договорной основе и для собственных нужд, произведенной с использованием возобновляемых источников энергии (далее - ВИЭ).</w:t>
      </w:r>
    </w:p>
    <w:p>
      <w:pPr>
        <w:spacing w:after="60"/>
        <w:ind w:firstLine="567"/>
        <w:jc w:val="both"/>
      </w:pPr>
      <w:r>
        <w:rPr>
          <w:rFonts w:ascii="Arial" w:cs="Arial" w:eastAsia="Arial" w:hAnsi="Arial"/>
          <w:sz w:val="24"/>
          <w:szCs w:val="24"/>
        </w:rPr>
        <w:t xml:space="preserve">2. В настоящем Положении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квоты электрической энергии</w:t>
      </w:r>
      <w:r>
        <w:rPr>
          <w:rFonts w:ascii="Arial" w:cs="Arial" w:eastAsia="Arial" w:hAnsi="Arial"/>
          <w:sz w:val="24"/>
          <w:szCs w:val="24"/>
        </w:rPr>
        <w:t xml:space="preserve"> - установление объема электрических мощностей энергетических установок с использованием ВИЭ по регионам и по видам ВИЭ на определенный период времени, оплачиваемого по максимальному тарифу для конечных потребителей, с применением повышающего коэффициента от энергетических установок с использованием ВИЭ;</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виды режимов деятельности в области ВИЭ</w:t>
      </w:r>
      <w:r>
        <w:rPr>
          <w:rFonts w:ascii="Arial" w:cs="Arial" w:eastAsia="Arial" w:hAnsi="Arial"/>
          <w:sz w:val="24"/>
          <w:szCs w:val="24"/>
        </w:rPr>
        <w:t xml:space="preserve"> - режимы поставки и выработки электрической энергии, произведенной с использованием ВИЭ (поставка электрической энергии с использованием ВИЭ в рамках квот, поставка электрической энергии с использованием ВИЭ вне квот, поставка электрической энергии с использованием ВИЭ на договорной основе, выработка электрической энергии с использованием ВИЭ для собственных нужд);</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поставка электрической энергии с использованием ВИЭ в рамках квот</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в рамках квот, установленных уполномоченным государственным органом по выработке политики в сфере энергетики, осуществляется в сети распределяющих предприятий по максимальному тарифу для конечных потребителей, с применением повышающего коэффициента в рамках льготного периода в соответствии с </w:t>
      </w:r>
      <w:hyperlink w:history="1" r:id="rIdo1xfeidhsemmb-zal3qj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поставка электрической энергии с использованием ВИЭ вне квот</w:t>
      </w:r>
      <w:r>
        <w:rPr>
          <w:rFonts w:ascii="Arial" w:cs="Arial" w:eastAsia="Arial" w:hAnsi="Arial"/>
          <w:sz w:val="24"/>
          <w:szCs w:val="24"/>
        </w:rPr>
        <w:t xml:space="preserve"> - вид режима деятельности в области ВИЭ, при котором поставка электрической энергии субъектом ВИЭ, произведенной с использованием установок ВИЭ, созданных вне квот, осуществляется в сети распределяющих предприятий по максимальному тарифу для конечных потребителей, за вычетом стоимости услуги транзита электроэнергетической компании в период срока окупаемости, установленного уполномоченным государственным органом по регулированию топливно-энергетического комплекса в соответствии с </w:t>
      </w:r>
      <w:hyperlink w:history="1" r:id="rId44yospdgus7hcvuvyc0u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поставка электрической энергии с использованием ВИЭ на договорной основе</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осуществляется покупателю, с которым субъект ВИЭ состоит в договорных отношениях согласно Гражданскому </w:t>
      </w:r>
      <w:hyperlink w:history="1" r:id="rIdq_z2cg8rw7bi6ljzoaabq">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по цене, определяемой сторонами самостоятельно;</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выработка электрической энергии с использованием ВИЭ для собственных нужд</w:t>
      </w:r>
      <w:r>
        <w:rPr>
          <w:rFonts w:ascii="Arial" w:cs="Arial" w:eastAsia="Arial" w:hAnsi="Arial"/>
          <w:sz w:val="24"/>
          <w:szCs w:val="24"/>
        </w:rPr>
        <w:t xml:space="preserve"> - вид режима деятельности в области ВИЭ, при котором электрическая энергия, произведенная с использованием установок ВИЭ, используется в собственных целях (для собственных нужд);</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Реестр субъектов ВИЭ (далее - Реестр субъектов ВИЭ)</w:t>
      </w:r>
      <w:r>
        <w:rPr>
          <w:rFonts w:ascii="Arial" w:cs="Arial" w:eastAsia="Arial" w:hAnsi="Arial"/>
          <w:sz w:val="24"/>
          <w:szCs w:val="24"/>
        </w:rPr>
        <w:t xml:space="preserve"> - единая система государственного учета всех субъектов ВИЭ, изъявивших намерение и осуществляющих деятельность в сфере производства, поставки (продажи)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субъект ВИЭ</w:t>
      </w:r>
      <w:r>
        <w:rPr>
          <w:rFonts w:ascii="Arial" w:cs="Arial" w:eastAsia="Arial" w:hAnsi="Arial"/>
          <w:sz w:val="24"/>
          <w:szCs w:val="24"/>
        </w:rPr>
        <w:t xml:space="preserve"> - физические и юридические лица, иностранные физические и юридические лица, индивидуальные предприниматели, изъявившие намерение и/или осуществляющие деятельность в сфере производства (всех видов режимов), поставки (продажи)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9)</w:t>
      </w:r>
      <w:r>
        <w:rPr>
          <w:rFonts w:ascii="Arial" w:cs="Arial" w:eastAsia="Arial" w:hAnsi="Arial"/>
          <w:b/>
          <w:bCs/>
          <w:sz w:val="24"/>
          <w:szCs w:val="24"/>
        </w:rPr>
        <w:t xml:space="preserve"> ВИЭ-электроэнергия</w:t>
      </w:r>
      <w:r>
        <w:rPr>
          <w:rFonts w:ascii="Arial" w:cs="Arial" w:eastAsia="Arial" w:hAnsi="Arial"/>
          <w:sz w:val="24"/>
          <w:szCs w:val="24"/>
        </w:rPr>
        <w:t xml:space="preserve"> - электрическая энергия, выработанная субъектом ВИЭ с использованием ВИЭ;</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ВИЭ-установка</w:t>
      </w:r>
      <w:r>
        <w:rPr>
          <w:rFonts w:ascii="Arial" w:cs="Arial" w:eastAsia="Arial" w:hAnsi="Arial"/>
          <w:sz w:val="24"/>
          <w:szCs w:val="24"/>
        </w:rPr>
        <w:t xml:space="preserve"> - технологическое оборудование или комплекс технологического оборудования по производству либо приему (получению), преобразованию, аккумулированию и (или) передаче электрической энергии, производимой из ВИЭ;</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ВИЭ-тариф</w:t>
      </w:r>
      <w:r>
        <w:rPr>
          <w:rFonts w:ascii="Arial" w:cs="Arial" w:eastAsia="Arial" w:hAnsi="Arial"/>
          <w:sz w:val="24"/>
          <w:szCs w:val="24"/>
        </w:rPr>
        <w:t xml:space="preserve"> - льготный тариф на ВИЭ-электроэнергию, установленный уполномоченным государственным органом по регулированию топливно-энергетического комплекса для поставщика в соответствии с </w:t>
      </w:r>
      <w:hyperlink w:history="1" r:id="rId91izzihsu_-pap8hyif8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период окупаемости (срок окупаемости)</w:t>
      </w:r>
      <w:r>
        <w:rPr>
          <w:rFonts w:ascii="Arial" w:cs="Arial" w:eastAsia="Arial" w:hAnsi="Arial"/>
          <w:sz w:val="24"/>
          <w:szCs w:val="24"/>
        </w:rPr>
        <w:t xml:space="preserve"> - это временной интервал, рассчитываемый с даты ввода б эксплуатацию энергетической установки с использованием ВИЭ до того момента, когда размер полученной чистой прибыли будет равен объему осуществленных расходов;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технико-экономическое обоснование (далее - ТЭО)</w:t>
      </w:r>
      <w:r>
        <w:rPr>
          <w:rFonts w:ascii="Arial" w:cs="Arial" w:eastAsia="Arial" w:hAnsi="Arial"/>
          <w:sz w:val="24"/>
          <w:szCs w:val="24"/>
        </w:rPr>
        <w:t xml:space="preserve"> - проектная документация, содержащая основные исходные данные с описанием целей инвестирования, обоснования эффективности инвестиций, в том числе: ожидаемый экономический, социальный и (или) коммерческий эффект от функционирования энергетической установки с использованием ВИЭ, а также сведения об основных технических и технологических параметрах объекта строительства и расчеты с определением технико-экономических показателей объекта;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предварительное технико-экономическое обоснование</w:t>
      </w:r>
      <w:r>
        <w:rPr>
          <w:rFonts w:ascii="Arial" w:cs="Arial" w:eastAsia="Arial" w:hAnsi="Arial"/>
          <w:sz w:val="24"/>
          <w:szCs w:val="24"/>
        </w:rPr>
        <w:t xml:space="preserve"> - промежуточная стадия между исследованием возможностей проекта и детальным ТЭО. Предварительное ТЭО отличается от ТЭО меньшей детализацией информации, глубиной рассмотрения вариантов проекта и отдельных аспектов его осуществления с учетом дополнительного проведения функциональных исследований;</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проектно-сметная документация (далее - ПСД)</w:t>
      </w:r>
      <w:r>
        <w:rPr>
          <w:rFonts w:ascii="Arial" w:cs="Arial" w:eastAsia="Arial" w:hAnsi="Arial"/>
          <w:sz w:val="24"/>
          <w:szCs w:val="24"/>
        </w:rPr>
        <w:t xml:space="preserve"> - проектная (проектно-сметная) документация, содержащая объемно-планировочные, конструктивные, технологические, инженерные, природоохранные, экономические и иные решения, а также сметные расчеты для организации и ведения строительства, инженерной подготовки и благоустройства территории.</w:t>
      </w:r>
    </w:p>
    <w:p>
      <w:pPr>
        <w:spacing w:after="200" w:before="200"/>
        <w:jc w:val="center"/>
      </w:pPr>
      <w:r>
        <w:rPr>
          <w:rFonts w:ascii="Arial" w:cs="Arial" w:eastAsia="Arial" w:hAnsi="Arial"/>
          <w:b/>
          <w:bCs/>
          <w:sz w:val="24"/>
          <w:szCs w:val="24"/>
        </w:rPr>
        <w:t xml:space="preserve">Глава 2. Полномочия участников, осуществляющих деятельность в сфере энергетики с использованием ВИЭ</w:t>
      </w:r>
    </w:p>
    <w:p>
      <w:pPr>
        <w:spacing w:after="60"/>
        <w:ind w:firstLine="567"/>
        <w:jc w:val="both"/>
      </w:pPr>
      <w:r>
        <w:rPr>
          <w:rFonts w:ascii="Arial" w:cs="Arial" w:eastAsia="Arial" w:hAnsi="Arial"/>
          <w:sz w:val="24"/>
          <w:szCs w:val="24"/>
        </w:rPr>
        <w:t xml:space="preserve">3. Участниками осуществления деятельности в сфере энергетики с использованием ВИЭ являются:</w:t>
      </w:r>
    </w:p>
    <w:p>
      <w:pPr>
        <w:spacing w:after="60"/>
        <w:ind w:firstLine="567"/>
        <w:jc w:val="both"/>
      </w:pPr>
      <w:r>
        <w:rPr>
          <w:rFonts w:ascii="Arial" w:cs="Arial" w:eastAsia="Arial" w:hAnsi="Arial"/>
          <w:sz w:val="24"/>
          <w:szCs w:val="24"/>
        </w:rPr>
        <w:t xml:space="preserve">1) уполномоченный государственный орган по выработке политики в сфере энергетики;</w:t>
      </w:r>
    </w:p>
    <w:p>
      <w:pPr>
        <w:spacing w:after="60"/>
        <w:ind w:firstLine="567"/>
        <w:jc w:val="both"/>
      </w:pPr>
      <w:r>
        <w:rPr>
          <w:rFonts w:ascii="Arial" w:cs="Arial" w:eastAsia="Arial" w:hAnsi="Arial"/>
          <w:sz w:val="24"/>
          <w:szCs w:val="24"/>
        </w:rPr>
        <w:t xml:space="preserve">2) уполномоченный государственный орган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3) уполномоченные государственные органы в сфере регулирования земельных правоотношений и органы местного самоуправления;</w:t>
      </w:r>
    </w:p>
    <w:p>
      <w:pPr>
        <w:spacing w:after="60"/>
        <w:ind w:firstLine="567"/>
        <w:jc w:val="both"/>
      </w:pPr>
      <w:r>
        <w:rPr>
          <w:rFonts w:ascii="Arial" w:cs="Arial" w:eastAsia="Arial" w:hAnsi="Arial"/>
          <w:sz w:val="24"/>
          <w:szCs w:val="24"/>
        </w:rPr>
        <w:t xml:space="preserve">4) распределяющие предприятия;</w:t>
      </w:r>
    </w:p>
    <w:p>
      <w:pPr>
        <w:spacing w:after="60"/>
        <w:ind w:firstLine="567"/>
        <w:jc w:val="both"/>
      </w:pPr>
      <w:r>
        <w:rPr>
          <w:rFonts w:ascii="Arial" w:cs="Arial" w:eastAsia="Arial" w:hAnsi="Arial"/>
          <w:sz w:val="24"/>
          <w:szCs w:val="24"/>
        </w:rPr>
        <w:t xml:space="preserve">5) субъект ВИЭ.</w:t>
      </w:r>
    </w:p>
    <w:p>
      <w:pPr>
        <w:spacing w:after="60"/>
        <w:ind w:firstLine="567"/>
        <w:jc w:val="both"/>
      </w:pPr>
      <w:r>
        <w:rPr>
          <w:rFonts w:ascii="Arial" w:cs="Arial" w:eastAsia="Arial" w:hAnsi="Arial"/>
          <w:sz w:val="24"/>
          <w:szCs w:val="24"/>
        </w:rPr>
        <w:t xml:space="preserve">4. Уполномоченный государственный орган по выработке политики в сфере энергетики:</w:t>
      </w:r>
    </w:p>
    <w:p>
      <w:pPr>
        <w:spacing w:after="60"/>
        <w:ind w:firstLine="567"/>
        <w:jc w:val="both"/>
      </w:pPr>
      <w:r>
        <w:rPr>
          <w:rFonts w:ascii="Arial" w:cs="Arial" w:eastAsia="Arial" w:hAnsi="Arial"/>
          <w:sz w:val="24"/>
          <w:szCs w:val="24"/>
        </w:rPr>
        <w:t xml:space="preserve">1) разрабатывает и утверждает квотирование мощностей ВИЭ-установок, установленную мощность по каждому виду ВИЭ для определенных территориально-административных единиц, а также обновляет данные о наличии квот на мощность ВИЭ-установок, с размещением информации на официальном веб-сайте;</w:t>
      </w:r>
    </w:p>
    <w:p>
      <w:pPr>
        <w:spacing w:after="60"/>
        <w:ind w:firstLine="567"/>
        <w:jc w:val="both"/>
      </w:pPr>
      <w:r>
        <w:rPr>
          <w:rFonts w:ascii="Arial" w:cs="Arial" w:eastAsia="Arial" w:hAnsi="Arial"/>
          <w:sz w:val="24"/>
          <w:szCs w:val="24"/>
        </w:rPr>
        <w:t xml:space="preserve">2) осуществляет ведение государственного Реестра субъектов ВИЭ и регистрацию субъектов ВИЭ, изъявивших намерение и/или осуществляющих деятельность в области ВИЭ;</w:t>
      </w:r>
    </w:p>
    <w:p>
      <w:pPr>
        <w:spacing w:after="60"/>
        <w:ind w:firstLine="567"/>
        <w:jc w:val="both"/>
      </w:pPr>
      <w:r>
        <w:rPr>
          <w:rFonts w:ascii="Arial" w:cs="Arial" w:eastAsia="Arial" w:hAnsi="Arial"/>
          <w:sz w:val="24"/>
          <w:szCs w:val="24"/>
        </w:rPr>
        <w:t xml:space="preserve">3) вправе проводить конкурсный отбор на строительство ВИЭ-установок, подготавливать предварительное ТЭО проекта в порядке, установленном законодательством Кыргызской Республики в сфере государственно-частного партнерства, и обращаться в уполномоченные государственные органы в сфере регулирования земельных правоотношений и органы местного самоуправления с ходатайством об отводе земельного участка в соответствии с земельным законодательством Кыргызской Республики для строительства ВИЭ-установок;</w:t>
      </w:r>
    </w:p>
    <w:p>
      <w:pPr>
        <w:spacing w:after="60"/>
        <w:ind w:firstLine="567"/>
        <w:jc w:val="both"/>
      </w:pPr>
      <w:r>
        <w:rPr>
          <w:rFonts w:ascii="Arial" w:cs="Arial" w:eastAsia="Arial" w:hAnsi="Arial"/>
          <w:sz w:val="24"/>
          <w:szCs w:val="24"/>
        </w:rPr>
        <w:t xml:space="preserve">4) вправе заключать соглашение с субъектом ВИЭ о намерении инвестировать в строительство объекта по использованию ВИЭ;</w:t>
      </w:r>
    </w:p>
    <w:p>
      <w:pPr>
        <w:spacing w:after="60"/>
        <w:ind w:firstLine="567"/>
        <w:jc w:val="both"/>
      </w:pPr>
      <w:r>
        <w:rPr>
          <w:rFonts w:ascii="Arial" w:cs="Arial" w:eastAsia="Arial" w:hAnsi="Arial"/>
          <w:sz w:val="24"/>
          <w:szCs w:val="24"/>
        </w:rPr>
        <w:t xml:space="preserve">5) вправе инициировать процедуру прекращения (аннулирования) права пользования земельным участком в уполномоченные государственные органы в сфере регулирования земельных правоотношений в случаях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по использованию ВИЭ, в течение 3 (трех) лет, в порядке, установленном законодательством Кыргызской Республики в сфере земельных правоотношений;</w:t>
      </w:r>
    </w:p>
    <w:p>
      <w:pPr>
        <w:spacing w:after="60"/>
        <w:ind w:firstLine="567"/>
        <w:jc w:val="both"/>
      </w:pPr>
      <w:r>
        <w:rPr>
          <w:rFonts w:ascii="Arial" w:cs="Arial" w:eastAsia="Arial" w:hAnsi="Arial"/>
          <w:sz w:val="24"/>
          <w:szCs w:val="24"/>
        </w:rPr>
        <w:t xml:space="preserve">6) взаимодействует с уполномоченным государственным органом по водным ресурсам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по использованию ВИЭ;</w:t>
      </w:r>
    </w:p>
    <w:p>
      <w:pPr>
        <w:spacing w:after="60"/>
        <w:ind w:firstLine="567"/>
        <w:jc w:val="both"/>
      </w:pPr>
      <w:r>
        <w:rPr>
          <w:rFonts w:ascii="Arial" w:cs="Arial" w:eastAsia="Arial" w:hAnsi="Arial"/>
          <w:sz w:val="24"/>
          <w:szCs w:val="24"/>
        </w:rPr>
        <w:t xml:space="preserve">7) оказывает юридическую и организационную помощь субъектам ВИЭ при прохождении процедуры согласования в государственных органах проектов строительства объектов по использованию ВИЭ;</w:t>
      </w:r>
    </w:p>
    <w:p>
      <w:pPr>
        <w:spacing w:after="60"/>
        <w:ind w:firstLine="567"/>
        <w:jc w:val="both"/>
      </w:pPr>
      <w:r>
        <w:rPr>
          <w:rFonts w:ascii="Arial" w:cs="Arial" w:eastAsia="Arial" w:hAnsi="Arial"/>
          <w:sz w:val="24"/>
          <w:szCs w:val="24"/>
        </w:rPr>
        <w:t xml:space="preserve">8) осуществляет мониторинг и контроль за подключением объектов по использованию ВИЭ к электрическим сетям энергопередающих организаций в соответствии с законодательством Кыргызской Республики в сфере энергетики;</w:t>
      </w:r>
    </w:p>
    <w:p>
      <w:pPr>
        <w:spacing w:after="60"/>
        <w:ind w:firstLine="567"/>
        <w:jc w:val="both"/>
      </w:pPr>
      <w:r>
        <w:rPr>
          <w:rFonts w:ascii="Arial" w:cs="Arial" w:eastAsia="Arial" w:hAnsi="Arial"/>
          <w:sz w:val="24"/>
          <w:szCs w:val="24"/>
        </w:rPr>
        <w:t xml:space="preserve">9) осуществляет мониторинг использования ВИЭ,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w:t>
      </w:r>
    </w:p>
    <w:p>
      <w:pPr>
        <w:spacing w:after="60"/>
        <w:ind w:firstLine="567"/>
        <w:jc w:val="both"/>
      </w:pPr>
      <w:r>
        <w:rPr>
          <w:rFonts w:ascii="Arial" w:cs="Arial" w:eastAsia="Arial" w:hAnsi="Arial"/>
          <w:sz w:val="24"/>
          <w:szCs w:val="24"/>
        </w:rPr>
        <w:t xml:space="preserve">10) предоставляет заинтересованным лицам своевременную, полную и достоверную информацию, касающуюся деятельности субъектов ВИЭ, квотирования и объемов предоставленных квот.</w:t>
      </w:r>
    </w:p>
    <w:p>
      <w:pPr>
        <w:spacing w:after="60"/>
        <w:ind w:firstLine="567"/>
        <w:jc w:val="both"/>
      </w:pPr>
      <w:r>
        <w:rPr>
          <w:rFonts w:ascii="Arial" w:cs="Arial" w:eastAsia="Arial" w:hAnsi="Arial"/>
          <w:sz w:val="24"/>
          <w:szCs w:val="24"/>
        </w:rPr>
        <w:t xml:space="preserve">5. Уполномоченный государственный орган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 устанавливает срок действия льготного периода проектов по использованию ВИЭ - не более 10 (десять) лет;</w:t>
      </w:r>
    </w:p>
    <w:p>
      <w:pPr>
        <w:spacing w:after="60"/>
        <w:ind w:firstLine="567"/>
        <w:jc w:val="both"/>
      </w:pPr>
      <w:r>
        <w:rPr>
          <w:rFonts w:ascii="Arial" w:cs="Arial" w:eastAsia="Arial" w:hAnsi="Arial"/>
          <w:sz w:val="24"/>
          <w:szCs w:val="24"/>
        </w:rPr>
        <w:t xml:space="preserve">2) устанавливает тарифы на электрическую энергию, покупаемую распределяющими предприятиями у субъектов ВИЭ;</w:t>
      </w:r>
    </w:p>
    <w:p>
      <w:pPr>
        <w:spacing w:after="60"/>
        <w:ind w:firstLine="567"/>
        <w:jc w:val="both"/>
      </w:pPr>
      <w:r>
        <w:rPr>
          <w:rFonts w:ascii="Arial" w:cs="Arial" w:eastAsia="Arial" w:hAnsi="Arial"/>
          <w:sz w:val="24"/>
          <w:szCs w:val="24"/>
        </w:rPr>
        <w:t xml:space="preserve">3) устанавливает срок действия периода окупаемости для ВИЭ-установок, построенных вне рамок квотирования мощностей, владельцы которых не претендуют на тарифную преференцию по льготному периоду, а также в случаях исчерпания квот.</w:t>
      </w:r>
    </w:p>
    <w:p>
      <w:pPr>
        <w:spacing w:after="60"/>
        <w:ind w:firstLine="567"/>
        <w:jc w:val="both"/>
      </w:pPr>
      <w:r>
        <w:rPr>
          <w:rFonts w:ascii="Arial" w:cs="Arial" w:eastAsia="Arial" w:hAnsi="Arial"/>
          <w:sz w:val="24"/>
          <w:szCs w:val="24"/>
        </w:rPr>
        <w:t xml:space="preserve">6. Уполномоченные государственные органы в сфере регулирования земельных правоотношений и органы местного самоуправления в пределах их компетенции, в порядке, установленном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1) рассматривают заявление о предоставлении земельного участка, включая предварительное ТЭО на строительство ВИЭ-установки;</w:t>
      </w:r>
    </w:p>
    <w:p>
      <w:pPr>
        <w:spacing w:after="60"/>
        <w:ind w:firstLine="567"/>
        <w:jc w:val="both"/>
      </w:pPr>
      <w:r>
        <w:rPr>
          <w:rFonts w:ascii="Arial" w:cs="Arial" w:eastAsia="Arial" w:hAnsi="Arial"/>
          <w:sz w:val="24"/>
          <w:szCs w:val="24"/>
        </w:rPr>
        <w:t xml:space="preserve">2) предоставляют земельные участки для строительства ВИЭ-установок в соответствии с требованиями земельного законодательства Кыргызской Республики;</w:t>
      </w:r>
    </w:p>
    <w:p>
      <w:pPr>
        <w:spacing w:after="60"/>
        <w:ind w:firstLine="567"/>
        <w:jc w:val="both"/>
      </w:pPr>
      <w:r>
        <w:rPr>
          <w:rFonts w:ascii="Arial" w:cs="Arial" w:eastAsia="Arial" w:hAnsi="Arial"/>
          <w:sz w:val="24"/>
          <w:szCs w:val="24"/>
        </w:rPr>
        <w:t xml:space="preserve">3) оказывают содействие субъекту ВИЭ в организации деятельности при строительстве ВИЭ-установки и проведении консультаций с общественностью для оказания поддержки деятельности субъекта ВИЭ.</w:t>
      </w:r>
    </w:p>
    <w:p>
      <w:pPr>
        <w:spacing w:after="60"/>
        <w:ind w:firstLine="567"/>
        <w:jc w:val="both"/>
      </w:pPr>
      <w:r>
        <w:rPr>
          <w:rFonts w:ascii="Arial" w:cs="Arial" w:eastAsia="Arial" w:hAnsi="Arial"/>
          <w:sz w:val="24"/>
          <w:szCs w:val="24"/>
        </w:rPr>
        <w:t xml:space="preserve">7. Распределяющие предприятия:</w:t>
      </w:r>
    </w:p>
    <w:p>
      <w:pPr>
        <w:spacing w:after="60"/>
        <w:ind w:firstLine="567"/>
        <w:jc w:val="both"/>
      </w:pPr>
      <w:r>
        <w:rPr>
          <w:rFonts w:ascii="Arial" w:cs="Arial" w:eastAsia="Arial" w:hAnsi="Arial"/>
          <w:sz w:val="24"/>
          <w:szCs w:val="24"/>
        </w:rPr>
        <w:t xml:space="preserve">1) выдают субъекту ВИЭ технические условия на присоединение ВИЭ-установки;</w:t>
      </w:r>
    </w:p>
    <w:p>
      <w:pPr>
        <w:spacing w:after="60"/>
        <w:ind w:firstLine="567"/>
        <w:jc w:val="both"/>
      </w:pPr>
      <w:r>
        <w:rPr>
          <w:rFonts w:ascii="Arial" w:cs="Arial" w:eastAsia="Arial" w:hAnsi="Arial"/>
          <w:sz w:val="24"/>
          <w:szCs w:val="24"/>
        </w:rPr>
        <w:t xml:space="preserve">2) заключают с субъектом ВИЭ договоры на поставку ВИЭ-электроэнергии, произведенной ВИЭ-установкой;</w:t>
      </w:r>
    </w:p>
    <w:p>
      <w:pPr>
        <w:spacing w:after="60"/>
        <w:ind w:firstLine="567"/>
        <w:jc w:val="both"/>
      </w:pPr>
      <w:r>
        <w:rPr>
          <w:rFonts w:ascii="Arial" w:cs="Arial" w:eastAsia="Arial" w:hAnsi="Arial"/>
          <w:sz w:val="24"/>
          <w:szCs w:val="24"/>
        </w:rPr>
        <w:t xml:space="preserve">3) оказывают услуги по транспортировке ВИЭ-электроэнергии при поставке ВИЭ-электроэнергии субъектом ВИЭ на договорной основе потребителям;</w:t>
      </w:r>
    </w:p>
    <w:p>
      <w:pPr>
        <w:spacing w:after="60"/>
        <w:ind w:firstLine="567"/>
        <w:jc w:val="both"/>
      </w:pPr>
      <w:r>
        <w:rPr>
          <w:rFonts w:ascii="Arial" w:cs="Arial" w:eastAsia="Arial" w:hAnsi="Arial"/>
          <w:sz w:val="24"/>
          <w:szCs w:val="24"/>
        </w:rPr>
        <w:t xml:space="preserve">4) ведут учет установленной мощности и объема электрической энергии, выработанной ВИЭ-установками на соответствующей территории обслуживания.</w:t>
      </w:r>
    </w:p>
    <w:p>
      <w:pPr>
        <w:spacing w:after="60"/>
        <w:ind w:firstLine="567"/>
        <w:jc w:val="both"/>
      </w:pPr>
      <w:r>
        <w:rPr>
          <w:rFonts w:ascii="Arial" w:cs="Arial" w:eastAsia="Arial" w:hAnsi="Arial"/>
          <w:sz w:val="24"/>
          <w:szCs w:val="24"/>
        </w:rPr>
        <w:t xml:space="preserve">8. Субъект ВИЭ:</w:t>
      </w:r>
    </w:p>
    <w:p>
      <w:pPr>
        <w:spacing w:after="60"/>
        <w:ind w:firstLine="567"/>
        <w:jc w:val="both"/>
      </w:pPr>
      <w:r>
        <w:rPr>
          <w:rFonts w:ascii="Arial" w:cs="Arial" w:eastAsia="Arial" w:hAnsi="Arial"/>
          <w:sz w:val="24"/>
          <w:szCs w:val="24"/>
        </w:rPr>
        <w:t xml:space="preserve">1) обеспечивает подготовку предварительного ТЭО, ТЭО проекта и ПСД, включая проведение экологической экспертизы на основе проведенной оценки воздействия на окружающую среду при строительстве ВИЭ-установки;</w:t>
      </w:r>
    </w:p>
    <w:p>
      <w:pPr>
        <w:spacing w:after="60"/>
        <w:ind w:firstLine="567"/>
        <w:jc w:val="both"/>
      </w:pPr>
      <w:r>
        <w:rPr>
          <w:rFonts w:ascii="Arial" w:cs="Arial" w:eastAsia="Arial" w:hAnsi="Arial"/>
          <w:sz w:val="24"/>
          <w:szCs w:val="24"/>
        </w:rPr>
        <w:t xml:space="preserve">2) подает заявление для включения в Реестр субъектов ВИЭ и уведомления в уполномоченный орган по выработке политики в сфере энергетики, в случаях изменения информации, фиксируемой в Реестре субъектов ВИЭ;</w:t>
      </w:r>
    </w:p>
    <w:p>
      <w:pPr>
        <w:spacing w:after="60"/>
        <w:ind w:firstLine="567"/>
        <w:jc w:val="both"/>
      </w:pPr>
      <w:r>
        <w:rPr>
          <w:rFonts w:ascii="Arial" w:cs="Arial" w:eastAsia="Arial" w:hAnsi="Arial"/>
          <w:sz w:val="24"/>
          <w:szCs w:val="24"/>
        </w:rPr>
        <w:t xml:space="preserve">3) обеспечивает финансирование и выполнение работ по проектированию, строительству, подключению, запуску и эксплуатации ВИЭ-установки в порядке, установленном законодательством Кыргызской Республики, регулирующем отношения в сфере градостроительства и энергетики;</w:t>
      </w:r>
    </w:p>
    <w:p>
      <w:pPr>
        <w:spacing w:after="60"/>
        <w:ind w:firstLine="567"/>
        <w:jc w:val="both"/>
      </w:pPr>
      <w:r>
        <w:rPr>
          <w:rFonts w:ascii="Arial" w:cs="Arial" w:eastAsia="Arial" w:hAnsi="Arial"/>
          <w:sz w:val="24"/>
          <w:szCs w:val="24"/>
        </w:rPr>
        <w:t xml:space="preserve">4) ежегодно предоставляет в уполномоченный государственный орган по регулированию топливно-энергетического комплекса информацию о прогнозных и фактических объемах выработки и отпуска в сети ВИЭ-электроэнергии.</w:t>
      </w:r>
    </w:p>
    <w:p>
      <w:pPr>
        <w:spacing w:after="200" w:before="200"/>
        <w:jc w:val="center"/>
      </w:pPr>
      <w:r>
        <w:rPr>
          <w:rFonts w:ascii="Arial" w:cs="Arial" w:eastAsia="Arial" w:hAnsi="Arial"/>
          <w:b/>
          <w:bCs/>
          <w:sz w:val="24"/>
          <w:szCs w:val="24"/>
        </w:rPr>
        <w:t xml:space="preserve">Глава 3. Особенности осуществления деятельности субъектов ВИЭ по выработке и поставке электрической энергии с использованием ВИЭ</w:t>
      </w:r>
    </w:p>
    <w:p>
      <w:pPr>
        <w:spacing w:after="60"/>
        <w:ind w:firstLine="567"/>
        <w:jc w:val="both"/>
      </w:pPr>
      <w:r>
        <w:rPr>
          <w:rFonts w:ascii="Arial" w:cs="Arial" w:eastAsia="Arial" w:hAnsi="Arial"/>
          <w:sz w:val="24"/>
          <w:szCs w:val="24"/>
        </w:rPr>
        <w:t xml:space="preserve">9. Субъекты ВИЭ имеют право претендовать на тарифную преференцию по льготному периоду в рамках квотирования мощностей, устанавливаемых уполномоченным государственным органом по выработке политики в сфере энергетики.</w:t>
      </w:r>
    </w:p>
    <w:p>
      <w:pPr>
        <w:spacing w:after="60"/>
        <w:ind w:firstLine="567"/>
        <w:jc w:val="both"/>
      </w:pPr>
      <w:r>
        <w:rPr>
          <w:rFonts w:ascii="Arial" w:cs="Arial" w:eastAsia="Arial" w:hAnsi="Arial"/>
          <w:sz w:val="24"/>
          <w:szCs w:val="24"/>
        </w:rPr>
        <w:t xml:space="preserve">10. Тарифная преференция в размере максимального тарифа для конечных потребителей, с применением повышающего коэффициента в течение льготного периода, в рамках квотирования мощностей, предоставляется лицам, включенным в Реестр субъектов ВИЭ. Мощности в рамках квот распределяются по правилу "первой поданной заявки", в порядке очередности подачи заявления на получение тарифной преференции, в соответствии с </w:t>
      </w:r>
      <w:hyperlink w:history="1" r:id="rId77-xpou904pnhk0acpniq">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Субъекту ВИЭ, после исчерпания объема квот установленных мощностей и/или при осуществлении строительства энергетической ВИЭ-установки вне рамок квотирования, при поставке электрической энергии в сети распределяющих предприятий, предоставляется тариф на вырабатываемую им ВИЭ-электроэнергию на уровне максимального тарифа для конечных потребителей, за вычетом стоимости услуги транзита электроэнергетической компании, на период окупаемости, устанавливаемый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12. Уполномоченный государственный орган по выработке политики в сфере энергетики, при наличии предварительного ТЭО и земельного участка, отведенного ему для строительства ВИЭ-установки, проводит конкурс на строительство энергетических ВИЭ-установок, в соответствии с законодательством Кыргызской Республики в сфере государственно-частного партнерства.</w:t>
      </w:r>
    </w:p>
    <w:p>
      <w:pPr>
        <w:spacing w:after="60"/>
        <w:ind w:firstLine="567"/>
        <w:jc w:val="both"/>
      </w:pPr>
      <w:r>
        <w:rPr>
          <w:rFonts w:ascii="Arial" w:cs="Arial" w:eastAsia="Arial" w:hAnsi="Arial"/>
          <w:sz w:val="24"/>
          <w:szCs w:val="24"/>
        </w:rPr>
        <w:t xml:space="preserve">13. Субъекты ВИЭ вправе осуществлять поставку выработанной ими ВИЭ-электроэнергии конечным потребителям, определяя цену поставляемой ВИЭ-электроэнергии на договорной основе.</w:t>
      </w:r>
    </w:p>
    <w:p>
      <w:pPr>
        <w:spacing w:after="60"/>
        <w:ind w:firstLine="567"/>
        <w:jc w:val="both"/>
      </w:pPr>
      <w:r>
        <w:rPr>
          <w:rFonts w:ascii="Arial" w:cs="Arial" w:eastAsia="Arial" w:hAnsi="Arial"/>
          <w:sz w:val="24"/>
          <w:szCs w:val="24"/>
        </w:rPr>
        <w:t xml:space="preserve">14. ВИЭ-электроэнергия, не потребляемая на собственные нужды, а также не реализованная другим потребителям на договорной основе, должна быть приобретена самым крупным распределяющим предприятием в том административно-территориальном образовании, в котором располагается ВИЭ-установка, в соответствии с </w:t>
      </w:r>
      <w:hyperlink w:history="1" r:id="rIdjskz76icees9sqcta4e6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200" w:before="200"/>
        <w:jc w:val="center"/>
      </w:pPr>
      <w:r>
        <w:rPr>
          <w:rFonts w:ascii="Arial" w:cs="Arial" w:eastAsia="Arial" w:hAnsi="Arial"/>
          <w:b/>
          <w:bCs/>
          <w:sz w:val="24"/>
          <w:szCs w:val="24"/>
        </w:rPr>
        <w:t xml:space="preserve">Глава 4. Этапы осуществления деятельности по выработке и поставке электрической энергии с использованием ВИЭ</w:t>
      </w:r>
    </w:p>
    <w:p>
      <w:pPr>
        <w:spacing w:after="60"/>
        <w:ind w:firstLine="567"/>
        <w:jc w:val="both"/>
      </w:pPr>
      <w:r>
        <w:rPr>
          <w:rFonts w:ascii="Arial" w:cs="Arial" w:eastAsia="Arial" w:hAnsi="Arial"/>
          <w:sz w:val="24"/>
          <w:szCs w:val="24"/>
        </w:rPr>
        <w:t xml:space="preserve">15. Деятельность по выработке ВИЭ-электроэнергии включает в себя следующие этапы:</w:t>
      </w:r>
    </w:p>
    <w:p>
      <w:pPr>
        <w:spacing w:after="60"/>
        <w:ind w:firstLine="567"/>
        <w:jc w:val="both"/>
      </w:pPr>
      <w:r>
        <w:rPr>
          <w:rFonts w:ascii="Arial" w:cs="Arial" w:eastAsia="Arial" w:hAnsi="Arial"/>
          <w:sz w:val="24"/>
          <w:szCs w:val="24"/>
        </w:rPr>
        <w:t xml:space="preserve">1) включение субъектов ВИЭ в Реестр субъектов ВИЭ;</w:t>
      </w:r>
    </w:p>
    <w:p>
      <w:pPr>
        <w:spacing w:after="60"/>
        <w:ind w:firstLine="567"/>
        <w:jc w:val="both"/>
      </w:pPr>
      <w:r>
        <w:rPr>
          <w:rFonts w:ascii="Arial" w:cs="Arial" w:eastAsia="Arial" w:hAnsi="Arial"/>
          <w:sz w:val="24"/>
          <w:szCs w:val="24"/>
        </w:rPr>
        <w:t xml:space="preserve">2) предоставление прав на земельные участки для строительства ВИЭ-установки;</w:t>
      </w:r>
    </w:p>
    <w:p>
      <w:pPr>
        <w:spacing w:after="60"/>
        <w:ind w:firstLine="567"/>
        <w:jc w:val="both"/>
      </w:pPr>
      <w:r>
        <w:rPr>
          <w:rFonts w:ascii="Arial" w:cs="Arial" w:eastAsia="Arial" w:hAnsi="Arial"/>
          <w:sz w:val="24"/>
          <w:szCs w:val="24"/>
        </w:rPr>
        <w:t xml:space="preserve">3) предоставление тарифных преференций по льготному периоду в рамках установленных квот;</w:t>
      </w:r>
    </w:p>
    <w:p>
      <w:pPr>
        <w:spacing w:after="60"/>
        <w:ind w:firstLine="567"/>
        <w:jc w:val="both"/>
      </w:pPr>
      <w:r>
        <w:rPr>
          <w:rFonts w:ascii="Arial" w:cs="Arial" w:eastAsia="Arial" w:hAnsi="Arial"/>
          <w:sz w:val="24"/>
          <w:szCs w:val="24"/>
        </w:rPr>
        <w:t xml:space="preserve">4) подготовка ПСД и присоединения к электрическим сетям;</w:t>
      </w:r>
    </w:p>
    <w:p>
      <w:pPr>
        <w:spacing w:after="60"/>
        <w:ind w:firstLine="567"/>
        <w:jc w:val="both"/>
      </w:pPr>
      <w:r>
        <w:rPr>
          <w:rFonts w:ascii="Arial" w:cs="Arial" w:eastAsia="Arial" w:hAnsi="Arial"/>
          <w:sz w:val="24"/>
          <w:szCs w:val="24"/>
        </w:rPr>
        <w:t xml:space="preserve">5) получение необходимых лицензионно-разрешительных документов для осуществления деятельности по продаже электроэнергии;</w:t>
      </w:r>
    </w:p>
    <w:p>
      <w:pPr>
        <w:spacing w:after="60"/>
        <w:ind w:firstLine="567"/>
        <w:jc w:val="both"/>
      </w:pPr>
      <w:r>
        <w:rPr>
          <w:rFonts w:ascii="Arial" w:cs="Arial" w:eastAsia="Arial" w:hAnsi="Arial"/>
          <w:sz w:val="24"/>
          <w:szCs w:val="24"/>
        </w:rPr>
        <w:t xml:space="preserve">6) установление тарифов на поставку ВИЭ-электроэнергии и периода окупаемости ВИЭ-установки;</w:t>
      </w:r>
    </w:p>
    <w:p>
      <w:pPr>
        <w:spacing w:after="60"/>
        <w:ind w:firstLine="567"/>
        <w:jc w:val="both"/>
      </w:pPr>
      <w:r>
        <w:rPr>
          <w:rFonts w:ascii="Arial" w:cs="Arial" w:eastAsia="Arial" w:hAnsi="Arial"/>
          <w:sz w:val="24"/>
          <w:szCs w:val="24"/>
        </w:rPr>
        <w:t xml:space="preserve">7) заключение договора на поставку ВИЭ-электроэнергии;</w:t>
      </w:r>
    </w:p>
    <w:p>
      <w:pPr>
        <w:spacing w:after="60"/>
        <w:ind w:firstLine="567"/>
        <w:jc w:val="both"/>
      </w:pPr>
      <w:r>
        <w:rPr>
          <w:rFonts w:ascii="Arial" w:cs="Arial" w:eastAsia="Arial" w:hAnsi="Arial"/>
          <w:sz w:val="24"/>
          <w:szCs w:val="24"/>
        </w:rPr>
        <w:t xml:space="preserve">8) строительство ВИЭ-установки;</w:t>
      </w:r>
    </w:p>
    <w:p>
      <w:pPr>
        <w:spacing w:after="60"/>
        <w:ind w:firstLine="567"/>
        <w:jc w:val="both"/>
      </w:pPr>
      <w:r>
        <w:rPr>
          <w:rFonts w:ascii="Arial" w:cs="Arial" w:eastAsia="Arial" w:hAnsi="Arial"/>
          <w:sz w:val="24"/>
          <w:szCs w:val="24"/>
        </w:rPr>
        <w:t xml:space="preserve">9) приемка и ввод в эксплуатацию ВИЭ-установки.</w:t>
      </w:r>
    </w:p>
    <w:p>
      <w:pPr>
        <w:spacing w:after="200" w:before="200"/>
        <w:jc w:val="center"/>
      </w:pPr>
      <w:r>
        <w:rPr>
          <w:rFonts w:ascii="Arial" w:cs="Arial" w:eastAsia="Arial" w:hAnsi="Arial"/>
          <w:b/>
          <w:bCs/>
          <w:sz w:val="24"/>
          <w:szCs w:val="24"/>
        </w:rPr>
        <w:t xml:space="preserve">Глава 5. Ведение Реестра субъектов ВИЭ</w:t>
      </w:r>
    </w:p>
    <w:p>
      <w:pPr>
        <w:spacing w:after="60"/>
        <w:ind w:firstLine="567"/>
        <w:jc w:val="both"/>
      </w:pPr>
      <w:r>
        <w:rPr>
          <w:rFonts w:ascii="Arial" w:cs="Arial" w:eastAsia="Arial" w:hAnsi="Arial"/>
          <w:sz w:val="24"/>
          <w:szCs w:val="24"/>
        </w:rPr>
        <w:t xml:space="preserve">16. Ведение Реестра субъектов ВИЭ осуществляется уполномоченным государственным органом по выработке политики в сфере энергетики, в целях обеспечения оценки и статистического учета электрической энергии, выработанной с использованием ВИЭ. Реестр ведется на бумажном носителе и в электронном формате по форме согласно </w:t>
      </w:r>
      <w:hyperlink w:history="1" r:id="rIdm60cpc9jnaqpvbg0h0ab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Реестр субъектов ВИЭ является официальным источником, подтверждающим правовой статус субъекта ВИЭ. Факт включения в Реестр подтверждается выдачей свидетельства о регистрации субъекта ВИЭ согласно </w:t>
      </w:r>
      <w:hyperlink w:history="1" r:id="rIdkryh4f7jxbba3pqbipzm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18. В Реестре указываются следующие сведения:</w:t>
      </w:r>
    </w:p>
    <w:p>
      <w:pPr>
        <w:spacing w:after="60"/>
        <w:ind w:firstLine="567"/>
        <w:jc w:val="both"/>
      </w:pPr>
      <w:r>
        <w:rPr>
          <w:rFonts w:ascii="Arial" w:cs="Arial" w:eastAsia="Arial" w:hAnsi="Arial"/>
          <w:sz w:val="24"/>
          <w:szCs w:val="24"/>
        </w:rPr>
        <w:t xml:space="preserve">1) серия, номер и дата выдачи свидетельства о включении в Реестр субъектов ВИЭ;</w:t>
      </w:r>
    </w:p>
    <w:p>
      <w:pPr>
        <w:spacing w:after="60"/>
        <w:ind w:firstLine="567"/>
        <w:jc w:val="both"/>
      </w:pPr>
      <w:r>
        <w:rPr>
          <w:rFonts w:ascii="Arial" w:cs="Arial" w:eastAsia="Arial" w:hAnsi="Arial"/>
          <w:sz w:val="24"/>
          <w:szCs w:val="24"/>
        </w:rPr>
        <w:t xml:space="preserve">2) номер субъекта ВИЭ в Реестре;</w:t>
      </w:r>
    </w:p>
    <w:p>
      <w:pPr>
        <w:spacing w:after="60"/>
        <w:ind w:firstLine="567"/>
        <w:jc w:val="both"/>
      </w:pPr>
      <w:r>
        <w:rPr>
          <w:rFonts w:ascii="Arial" w:cs="Arial" w:eastAsia="Arial" w:hAnsi="Arial"/>
          <w:sz w:val="24"/>
          <w:szCs w:val="24"/>
        </w:rPr>
        <w:t xml:space="preserve">3) для юридических лиц - полное и (в случае, если имеется) сокращенное наименование, организационно-правовая форма юридического лица, юридический адрес и фактическое местонахождение, идентификационный налоговый номер;</w:t>
      </w:r>
    </w:p>
    <w:p>
      <w:pPr>
        <w:spacing w:after="60"/>
        <w:ind w:firstLine="567"/>
        <w:jc w:val="both"/>
      </w:pPr>
      <w:r>
        <w:rPr>
          <w:rFonts w:ascii="Arial" w:cs="Arial" w:eastAsia="Arial" w:hAnsi="Arial"/>
          <w:sz w:val="24"/>
          <w:szCs w:val="24"/>
        </w:rPr>
        <w:t xml:space="preserve">4) для физических лиц - фамилия, имя, отчество физического лица, место регистрации и фактического проживания, данные документа, удостоверяющего личность, персональный идентификационный номер (ПИН);</w:t>
      </w:r>
    </w:p>
    <w:p>
      <w:pPr>
        <w:spacing w:after="60"/>
        <w:ind w:firstLine="567"/>
        <w:jc w:val="both"/>
      </w:pPr>
      <w:r>
        <w:rPr>
          <w:rFonts w:ascii="Arial" w:cs="Arial" w:eastAsia="Arial" w:hAnsi="Arial"/>
          <w:sz w:val="24"/>
          <w:szCs w:val="24"/>
        </w:rPr>
        <w:t xml:space="preserve">5) для иностранного юридического лица - полное и (в случае, если имеется) сокращенное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w:t>
      </w:r>
    </w:p>
    <w:p>
      <w:pPr>
        <w:spacing w:after="60"/>
        <w:ind w:firstLine="567"/>
        <w:jc w:val="both"/>
      </w:pPr>
      <w:r>
        <w:rPr>
          <w:rFonts w:ascii="Arial" w:cs="Arial" w:eastAsia="Arial" w:hAnsi="Arial"/>
          <w:sz w:val="24"/>
          <w:szCs w:val="24"/>
        </w:rPr>
        <w:t xml:space="preserve">6) для иностранного физического лица - фамилия, имя, отчество физического лица, место регистрации и фактического проживания, персональный идентификационный номер в соответствии с документом, удостоверяющим личность, иными документами и нотариально заверенными их переводами на государственный и/или официальный языки;</w:t>
      </w:r>
    </w:p>
    <w:p>
      <w:pPr>
        <w:spacing w:after="60"/>
        <w:ind w:firstLine="567"/>
        <w:jc w:val="both"/>
      </w:pPr>
      <w:r>
        <w:rPr>
          <w:rFonts w:ascii="Arial" w:cs="Arial" w:eastAsia="Arial" w:hAnsi="Arial"/>
          <w:sz w:val="24"/>
          <w:szCs w:val="24"/>
        </w:rPr>
        <w:t xml:space="preserve">7) для индивидуальных предпринимателей - фамилия, имя и отчество, регистрационный номер записи о государственной регистрации индивидуального предпринимателя, место регистрации и фактического проживания, персональный идентификационный номер;</w:t>
      </w:r>
    </w:p>
    <w:p>
      <w:pPr>
        <w:spacing w:after="60"/>
        <w:ind w:firstLine="567"/>
        <w:jc w:val="both"/>
      </w:pPr>
      <w:r>
        <w:rPr>
          <w:rFonts w:ascii="Arial" w:cs="Arial" w:eastAsia="Arial" w:hAnsi="Arial"/>
          <w:sz w:val="24"/>
          <w:szCs w:val="24"/>
        </w:rPr>
        <w:t xml:space="preserve">8) вид и мощность планируемой ВИЭ-установки;</w:t>
      </w:r>
    </w:p>
    <w:p>
      <w:pPr>
        <w:spacing w:after="60"/>
        <w:ind w:firstLine="567"/>
        <w:jc w:val="both"/>
      </w:pPr>
      <w:r>
        <w:rPr>
          <w:rFonts w:ascii="Arial" w:cs="Arial" w:eastAsia="Arial" w:hAnsi="Arial"/>
          <w:sz w:val="24"/>
          <w:szCs w:val="24"/>
        </w:rPr>
        <w:t xml:space="preserve">9) вид режима деятельности в области ВИЭ;</w:t>
      </w:r>
    </w:p>
    <w:p>
      <w:pPr>
        <w:spacing w:after="60"/>
        <w:ind w:firstLine="567"/>
        <w:jc w:val="both"/>
      </w:pPr>
      <w:r>
        <w:rPr>
          <w:rFonts w:ascii="Arial" w:cs="Arial" w:eastAsia="Arial" w:hAnsi="Arial"/>
          <w:sz w:val="24"/>
          <w:szCs w:val="24"/>
        </w:rPr>
        <w:t xml:space="preserve">10) территория осуществления деятельности (административно-территориальная единица);</w:t>
      </w:r>
    </w:p>
    <w:p>
      <w:pPr>
        <w:spacing w:after="60"/>
        <w:ind w:firstLine="567"/>
        <w:jc w:val="both"/>
      </w:pPr>
      <w:r>
        <w:rPr>
          <w:rFonts w:ascii="Arial" w:cs="Arial" w:eastAsia="Arial" w:hAnsi="Arial"/>
          <w:sz w:val="24"/>
          <w:szCs w:val="24"/>
        </w:rPr>
        <w:t xml:space="preserve">11) контактный телефон и адрес электронной почты заявителя.</w:t>
      </w:r>
    </w:p>
    <w:p>
      <w:pPr>
        <w:spacing w:after="60"/>
        <w:ind w:firstLine="567"/>
        <w:jc w:val="both"/>
      </w:pPr>
      <w:r>
        <w:rPr>
          <w:rFonts w:ascii="Arial" w:cs="Arial" w:eastAsia="Arial" w:hAnsi="Arial"/>
          <w:sz w:val="24"/>
          <w:szCs w:val="24"/>
        </w:rPr>
        <w:t xml:space="preserve">19. Реестр субъектов ВИЭ является открытой информацией и подлежит обязательному размещению на официальном веб-сайте уполномоченного государственного органа по выработке политики в сфере энергетики.</w:t>
      </w:r>
    </w:p>
    <w:p>
      <w:pPr>
        <w:spacing w:after="60"/>
        <w:ind w:firstLine="567"/>
        <w:jc w:val="both"/>
      </w:pPr>
      <w:r>
        <w:rPr>
          <w:rFonts w:ascii="Arial" w:cs="Arial" w:eastAsia="Arial" w:hAnsi="Arial"/>
          <w:sz w:val="24"/>
          <w:szCs w:val="24"/>
        </w:rPr>
        <w:t xml:space="preserve">20. Для включения в Реестр субъектов ВИЭ заявитель представляет заявление по форме, утвержденной уполномоченным государственным органом по выработке политики в сфере энергетики.</w:t>
      </w:r>
    </w:p>
    <w:p>
      <w:pPr>
        <w:spacing w:after="60"/>
        <w:ind w:firstLine="567"/>
        <w:jc w:val="both"/>
      </w:pPr>
      <w:r>
        <w:rPr>
          <w:rFonts w:ascii="Arial" w:cs="Arial" w:eastAsia="Arial" w:hAnsi="Arial"/>
          <w:sz w:val="24"/>
          <w:szCs w:val="24"/>
        </w:rPr>
        <w:t xml:space="preserve">21. К заявлению прилагаются копии следующих документов:</w:t>
      </w:r>
    </w:p>
    <w:p>
      <w:pPr>
        <w:spacing w:after="60"/>
        <w:ind w:firstLine="567"/>
        <w:jc w:val="both"/>
      </w:pPr>
      <w:r>
        <w:rPr>
          <w:rFonts w:ascii="Arial" w:cs="Arial" w:eastAsia="Arial" w:hAnsi="Arial"/>
          <w:sz w:val="24"/>
          <w:szCs w:val="24"/>
        </w:rPr>
        <w:t xml:space="preserve">1) свидетельства о государственной регистрации и устав - для юридического лица;</w:t>
      </w:r>
    </w:p>
    <w:p>
      <w:pPr>
        <w:spacing w:after="60"/>
        <w:ind w:firstLine="567"/>
        <w:jc w:val="both"/>
      </w:pPr>
      <w:r>
        <w:rPr>
          <w:rFonts w:ascii="Arial" w:cs="Arial" w:eastAsia="Arial" w:hAnsi="Arial"/>
          <w:sz w:val="24"/>
          <w:szCs w:val="24"/>
        </w:rPr>
        <w:t xml:space="preserve">2)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3) выписки из государственного реестра (апостилированной) или иного документа, удостоверяющего, что данное юридическое лицо является действующим юридическим лицом по законодательству своей страны, с нотариально заверенным переводом на государственный и/или официальный языки - для иностранного юридического лица;</w:t>
      </w:r>
    </w:p>
    <w:p>
      <w:pPr>
        <w:spacing w:after="60"/>
        <w:ind w:firstLine="567"/>
        <w:jc w:val="both"/>
      </w:pPr>
      <w:r>
        <w:rPr>
          <w:rFonts w:ascii="Arial" w:cs="Arial" w:eastAsia="Arial" w:hAnsi="Arial"/>
          <w:sz w:val="24"/>
          <w:szCs w:val="24"/>
        </w:rPr>
        <w:t xml:space="preserve">4) документа, удостоверяющего личность, с нотариально заверенным переводом на государственный и/или официальный языки - для физического иностранного лица;</w:t>
      </w:r>
    </w:p>
    <w:p>
      <w:pPr>
        <w:spacing w:after="60"/>
        <w:ind w:firstLine="567"/>
        <w:jc w:val="both"/>
      </w:pPr>
      <w:r>
        <w:rPr>
          <w:rFonts w:ascii="Arial" w:cs="Arial" w:eastAsia="Arial" w:hAnsi="Arial"/>
          <w:sz w:val="24"/>
          <w:szCs w:val="24"/>
        </w:rPr>
        <w:t xml:space="preserve">5) свидетельства о государственной регистрации в качестве индивидуального предпринимателя - для индивидуальных предпринимателей.</w:t>
      </w:r>
    </w:p>
    <w:p>
      <w:pPr>
        <w:spacing w:after="60"/>
        <w:ind w:firstLine="567"/>
        <w:jc w:val="both"/>
      </w:pPr>
      <w:r>
        <w:rPr>
          <w:rFonts w:ascii="Arial" w:cs="Arial" w:eastAsia="Arial" w:hAnsi="Arial"/>
          <w:sz w:val="24"/>
          <w:szCs w:val="24"/>
        </w:rPr>
        <w:t xml:space="preserve">22. Включение в Реестр субъектов ВИЭ производится в течение десяти рабочих дней со дня подачи заявления и подтверждается выдачей свидетельства о регистрации субъекта ВИЭ по форме согласно </w:t>
      </w:r>
      <w:hyperlink w:history="1" r:id="rIdpkyct-uwsobicges7mfu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неполном или неправильном заполнении заявления или неполноте прилагаемых документов заявителю направляется запрос о предоставлении недостающих сведений либо документов. В данном случае заявление регистрируется датой предоставления всех необходимых документов.</w:t>
      </w:r>
    </w:p>
    <w:p>
      <w:pPr>
        <w:spacing w:after="60"/>
        <w:ind w:firstLine="567"/>
        <w:jc w:val="both"/>
      </w:pPr>
      <w:r>
        <w:rPr>
          <w:rFonts w:ascii="Arial" w:cs="Arial" w:eastAsia="Arial" w:hAnsi="Arial"/>
          <w:sz w:val="24"/>
          <w:szCs w:val="24"/>
        </w:rPr>
        <w:t xml:space="preserve">Необоснованный отказ во включении в Реестр субъектов ВИЭ или его задержка могут быть обжалованы заявителем в соответствии с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23. Изменения данных о деятельности субъекта ВИЭ, подлежащих внесению в Реестр, должны быть доведены субъектами ВИЭ до сведения уполномоченного государственного органа по выработке политики в сфере энергетики путем письменного уведомления в течение одного календарного месяца со дня возникновения основания для изменения.</w:t>
      </w:r>
    </w:p>
    <w:p>
      <w:pPr>
        <w:spacing w:after="60"/>
        <w:ind w:firstLine="567"/>
        <w:jc w:val="both"/>
      </w:pPr>
      <w:r>
        <w:rPr>
          <w:rFonts w:ascii="Arial" w:cs="Arial" w:eastAsia="Arial" w:hAnsi="Arial"/>
          <w:sz w:val="24"/>
          <w:szCs w:val="24"/>
        </w:rPr>
        <w:t xml:space="preserve">24. Статус субъекта ВИЭ утрачивается с аннулированием свидетельства о регистрации субъекта ВИЭ в случаях:</w:t>
      </w:r>
    </w:p>
    <w:p>
      <w:pPr>
        <w:spacing w:after="60"/>
        <w:ind w:firstLine="567"/>
        <w:jc w:val="both"/>
      </w:pPr>
      <w:r>
        <w:rPr>
          <w:rFonts w:ascii="Arial" w:cs="Arial" w:eastAsia="Arial" w:hAnsi="Arial"/>
          <w:sz w:val="24"/>
          <w:szCs w:val="24"/>
        </w:rPr>
        <w:t xml:space="preserve">1) отсутствия права частной собственности или временного пользования на земельный участок для строительства ВИЭ-установки, в течение 2 (двух) лет с момента включения в Реестр субъектов ВИЭ;</w:t>
      </w:r>
    </w:p>
    <w:p>
      <w:pPr>
        <w:spacing w:after="60"/>
        <w:ind w:firstLine="567"/>
        <w:jc w:val="both"/>
      </w:pPr>
      <w:r>
        <w:rPr>
          <w:rFonts w:ascii="Arial" w:cs="Arial" w:eastAsia="Arial" w:hAnsi="Arial"/>
          <w:sz w:val="24"/>
          <w:szCs w:val="24"/>
        </w:rPr>
        <w:t xml:space="preserve">2) неосуществления деятельности по строительству установки с использованием ВИЭ в течение 3 (трех) лет с момента получения земельного участка.</w:t>
      </w:r>
    </w:p>
    <w:p>
      <w:pPr>
        <w:spacing w:after="200" w:before="200"/>
        <w:jc w:val="center"/>
      </w:pPr>
      <w:r>
        <w:rPr>
          <w:rFonts w:ascii="Arial" w:cs="Arial" w:eastAsia="Arial" w:hAnsi="Arial"/>
          <w:b/>
          <w:bCs/>
          <w:sz w:val="24"/>
          <w:szCs w:val="24"/>
        </w:rPr>
        <w:t xml:space="preserve">Глава 6. Предоставление права на земельный участок для строительства энергетической установки с использованием ВИЭ</w:t>
      </w:r>
    </w:p>
    <w:p>
      <w:pPr>
        <w:spacing w:after="60"/>
        <w:ind w:firstLine="567"/>
        <w:jc w:val="both"/>
      </w:pPr>
      <w:r>
        <w:rPr>
          <w:rFonts w:ascii="Arial" w:cs="Arial" w:eastAsia="Arial" w:hAnsi="Arial"/>
          <w:sz w:val="24"/>
          <w:szCs w:val="24"/>
        </w:rPr>
        <w:t xml:space="preserve">25. Права на земельные участки для строительства ВИЭ-установок могут предоставляться уполномоченными государственными органами в сфере регулирования земельных правоотношений или органами местного самоуправления в собственность или в пользование субъектам ВИЭ в порядке, предусмотренном земельным законодательством.</w:t>
      </w:r>
    </w:p>
    <w:p>
      <w:pPr>
        <w:spacing w:after="60"/>
        <w:ind w:firstLine="567"/>
        <w:jc w:val="both"/>
      </w:pPr>
      <w:r>
        <w:rPr>
          <w:rFonts w:ascii="Arial" w:cs="Arial" w:eastAsia="Arial" w:hAnsi="Arial"/>
          <w:sz w:val="24"/>
          <w:szCs w:val="24"/>
        </w:rPr>
        <w:t xml:space="preserve">26. Уполномоченный государственный орган по выработке политики в сфере энергетики для проведения конкурса вправе обращаться с заявлением на предоставление прав на земельный участок для строительства ВИЭ-установки в соответствующие уполномоченные государственные органы, местные администрации и органы местного самоуправления, в ведении которых находится земельный участок, в порядке, предусмотренном законодательством Кыргызской Республики в сфере регулирования земельных правоотношений.</w:t>
      </w:r>
    </w:p>
    <w:p>
      <w:pPr>
        <w:spacing w:after="60"/>
        <w:ind w:firstLine="567"/>
        <w:jc w:val="both"/>
      </w:pPr>
      <w:r>
        <w:rPr>
          <w:rFonts w:ascii="Arial" w:cs="Arial" w:eastAsia="Arial" w:hAnsi="Arial"/>
          <w:sz w:val="24"/>
          <w:szCs w:val="24"/>
        </w:rPr>
        <w:t xml:space="preserve">27. В заявлении на предоставление земельного участка для строительства ВИЭ-установки должны быть указаны: вид и планируемая установленная мощность объекта ВИЭ, предполагаемое место его расположения, обоснование примерной площади земельного участка и вид испрашиваемого права на него. К заявлению должно быть приложено предварительное ТЭО проекта строительства ВИЭ-установки и предварительная оценка воздействия на окружающую среду.</w:t>
      </w:r>
    </w:p>
    <w:p>
      <w:pPr>
        <w:spacing w:after="60"/>
        <w:ind w:firstLine="567"/>
        <w:jc w:val="both"/>
      </w:pPr>
      <w:r>
        <w:rPr>
          <w:rFonts w:ascii="Arial" w:cs="Arial" w:eastAsia="Arial" w:hAnsi="Arial"/>
          <w:sz w:val="24"/>
          <w:szCs w:val="24"/>
        </w:rPr>
        <w:t xml:space="preserve">28. Предварительное ТЭО проекта строительства ВИЭ-установки, а также предварительная оценка воздействия на окружающую среду самостоятельно подготавливаются субъектом ВИЭ с привлечением физических и юридических лиц, имеющих право на осуществление соответствующих видов деятельности в соответствии с законодательством Кыргызской Республики в области энергетики и градостроительства.</w:t>
      </w:r>
    </w:p>
    <w:p>
      <w:pPr>
        <w:spacing w:after="200" w:before="200"/>
        <w:jc w:val="center"/>
      </w:pPr>
      <w:r>
        <w:rPr>
          <w:rFonts w:ascii="Arial" w:cs="Arial" w:eastAsia="Arial" w:hAnsi="Arial"/>
          <w:b/>
          <w:bCs/>
          <w:sz w:val="24"/>
          <w:szCs w:val="24"/>
        </w:rPr>
        <w:t xml:space="preserve">Глава 7. Предоставление тарифных преференций по льготному периоду в рамках установленных квот</w:t>
      </w:r>
    </w:p>
    <w:p>
      <w:pPr>
        <w:spacing w:after="60"/>
        <w:ind w:firstLine="567"/>
        <w:jc w:val="both"/>
      </w:pPr>
      <w:r>
        <w:rPr>
          <w:rFonts w:ascii="Arial" w:cs="Arial" w:eastAsia="Arial" w:hAnsi="Arial"/>
          <w:sz w:val="24"/>
          <w:szCs w:val="24"/>
        </w:rPr>
        <w:t xml:space="preserve">29. Заявление на получение тарифных преференций подается субъектом ВИЭ в письменной форме в уполномоченный государственный орган по выработке политики в сфере энергетики.</w:t>
      </w:r>
    </w:p>
    <w:p>
      <w:pPr>
        <w:spacing w:after="60"/>
        <w:ind w:firstLine="567"/>
        <w:jc w:val="both"/>
      </w:pPr>
      <w:r>
        <w:rPr>
          <w:rFonts w:ascii="Arial" w:cs="Arial" w:eastAsia="Arial" w:hAnsi="Arial"/>
          <w:sz w:val="24"/>
          <w:szCs w:val="24"/>
        </w:rPr>
        <w:t xml:space="preserve">30. Заявление должно содержать:</w:t>
      </w:r>
    </w:p>
    <w:p>
      <w:pPr>
        <w:spacing w:after="60"/>
        <w:ind w:firstLine="567"/>
        <w:jc w:val="both"/>
      </w:pPr>
      <w:r>
        <w:rPr>
          <w:rFonts w:ascii="Arial" w:cs="Arial" w:eastAsia="Arial" w:hAnsi="Arial"/>
          <w:sz w:val="24"/>
          <w:szCs w:val="24"/>
        </w:rPr>
        <w:t xml:space="preserve">1) для юридических лиц - полное и (в случае, если имеется) сокращенное наименование;</w:t>
      </w:r>
    </w:p>
    <w:p>
      <w:pPr>
        <w:spacing w:after="60"/>
        <w:ind w:firstLine="567"/>
        <w:jc w:val="both"/>
      </w:pPr>
      <w:r>
        <w:rPr>
          <w:rFonts w:ascii="Arial" w:cs="Arial" w:eastAsia="Arial" w:hAnsi="Arial"/>
          <w:sz w:val="24"/>
          <w:szCs w:val="24"/>
        </w:rPr>
        <w:t xml:space="preserve">2) для физических лиц - фамилия, имя, отчество физического лица;</w:t>
      </w:r>
    </w:p>
    <w:p>
      <w:pPr>
        <w:spacing w:after="60"/>
        <w:ind w:firstLine="567"/>
        <w:jc w:val="both"/>
      </w:pPr>
      <w:r>
        <w:rPr>
          <w:rFonts w:ascii="Arial" w:cs="Arial" w:eastAsia="Arial" w:hAnsi="Arial"/>
          <w:sz w:val="24"/>
          <w:szCs w:val="24"/>
        </w:rPr>
        <w:t xml:space="preserve">3) серию и номер свидетельства о регистрации субъекта ВИЭ;</w:t>
      </w:r>
    </w:p>
    <w:p>
      <w:pPr>
        <w:spacing w:after="60"/>
        <w:ind w:firstLine="567"/>
        <w:jc w:val="both"/>
      </w:pPr>
      <w:r>
        <w:rPr>
          <w:rFonts w:ascii="Arial" w:cs="Arial" w:eastAsia="Arial" w:hAnsi="Arial"/>
          <w:sz w:val="24"/>
          <w:szCs w:val="24"/>
        </w:rPr>
        <w:t xml:space="preserve">4) вид и установленную мощность планируемой ВИЭ-установки;</w:t>
      </w:r>
    </w:p>
    <w:p>
      <w:pPr>
        <w:spacing w:after="60"/>
        <w:ind w:firstLine="567"/>
        <w:jc w:val="both"/>
      </w:pPr>
      <w:r>
        <w:rPr>
          <w:rFonts w:ascii="Arial" w:cs="Arial" w:eastAsia="Arial" w:hAnsi="Arial"/>
          <w:sz w:val="24"/>
          <w:szCs w:val="24"/>
        </w:rPr>
        <w:t xml:space="preserve">5) планируемый объем ВИЭ-электроэнергии для поставки.</w:t>
      </w:r>
    </w:p>
    <w:p>
      <w:pPr>
        <w:spacing w:after="60"/>
        <w:ind w:firstLine="567"/>
        <w:jc w:val="both"/>
      </w:pPr>
      <w:r>
        <w:rPr>
          <w:rFonts w:ascii="Arial" w:cs="Arial" w:eastAsia="Arial" w:hAnsi="Arial"/>
          <w:sz w:val="24"/>
          <w:szCs w:val="24"/>
        </w:rPr>
        <w:t xml:space="preserve">31.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нотариально заверенные копии правоустанавливающих и правоудостоверяющих документов на земельный участок;</w:t>
      </w:r>
    </w:p>
    <w:p>
      <w:pPr>
        <w:spacing w:after="60"/>
        <w:ind w:firstLine="567"/>
        <w:jc w:val="both"/>
      </w:pPr>
      <w:r>
        <w:rPr>
          <w:rFonts w:ascii="Arial" w:cs="Arial" w:eastAsia="Arial" w:hAnsi="Arial"/>
          <w:sz w:val="24"/>
          <w:szCs w:val="24"/>
        </w:rPr>
        <w:t xml:space="preserve">2) ТЭО на планируемую ВИЭ-установку.</w:t>
      </w:r>
    </w:p>
    <w:p>
      <w:pPr>
        <w:spacing w:after="60"/>
        <w:ind w:firstLine="567"/>
        <w:jc w:val="both"/>
      </w:pPr>
      <w:r>
        <w:rPr>
          <w:rFonts w:ascii="Arial" w:cs="Arial" w:eastAsia="Arial" w:hAnsi="Arial"/>
          <w:sz w:val="24"/>
          <w:szCs w:val="24"/>
        </w:rPr>
        <w:t xml:space="preserve">32. Поступившие в уполномоченный государственный орган по выработке политики в сфере энергетики заявления и прилагаемые документы принимаются и регистрируются с присвоением входящего регистрационного номера и фиксацией даты и времени их поступления.</w:t>
      </w:r>
    </w:p>
    <w:p>
      <w:pPr>
        <w:spacing w:after="60"/>
        <w:ind w:firstLine="567"/>
        <w:jc w:val="both"/>
      </w:pPr>
      <w:r>
        <w:rPr>
          <w:rFonts w:ascii="Arial" w:cs="Arial" w:eastAsia="Arial" w:hAnsi="Arial"/>
          <w:sz w:val="24"/>
          <w:szCs w:val="24"/>
        </w:rPr>
        <w:t xml:space="preserve">33. Уполномоченный государственный орган по выработке политики в сфере энергетики рассматривает поступившие от субъектов ВИЭ заявления в течение 14 (четырнадцать) рабочих дней со дня регистрации заявления. По результатам рассмотрения заявления и приложенных к нему документов, уполномоченный государственный орган по выработке политики в сфере энергетики при наличии свободных квот:</w:t>
      </w:r>
    </w:p>
    <w:p>
      <w:pPr>
        <w:spacing w:after="60"/>
        <w:ind w:firstLine="567"/>
        <w:jc w:val="both"/>
      </w:pPr>
      <w:r>
        <w:rPr>
          <w:rFonts w:ascii="Arial" w:cs="Arial" w:eastAsia="Arial" w:hAnsi="Arial"/>
          <w:sz w:val="24"/>
          <w:szCs w:val="24"/>
        </w:rPr>
        <w:t xml:space="preserve">1) выносит решение о получении квот и тарифных преференций согласно законодательству Кыргызской Республики в области энергетики;</w:t>
      </w:r>
    </w:p>
    <w:p>
      <w:pPr>
        <w:spacing w:after="60"/>
        <w:ind w:firstLine="567"/>
        <w:jc w:val="both"/>
      </w:pPr>
      <w:r>
        <w:rPr>
          <w:rFonts w:ascii="Arial" w:cs="Arial" w:eastAsia="Arial" w:hAnsi="Arial"/>
          <w:sz w:val="24"/>
          <w:szCs w:val="24"/>
        </w:rPr>
        <w:t xml:space="preserve">2) при неполном или неправильном заполнении заявления, или неполноте прилагаемых документов направляет заявителю запрос о предоставлении недостающих сведений либо документов. В данном случае заявление регистрируется датой предоставления всех необходимых документов.</w:t>
      </w:r>
    </w:p>
    <w:p>
      <w:pPr>
        <w:spacing w:after="60"/>
        <w:ind w:firstLine="567"/>
        <w:jc w:val="both"/>
      </w:pPr>
      <w:r>
        <w:rPr>
          <w:rFonts w:ascii="Arial" w:cs="Arial" w:eastAsia="Arial" w:hAnsi="Arial"/>
          <w:sz w:val="24"/>
          <w:szCs w:val="24"/>
        </w:rPr>
        <w:t xml:space="preserve">34. Решение об отказе в предоставлении тарифных преференций по льготному периоду в рамках квот выносится в случаях, если:</w:t>
      </w:r>
    </w:p>
    <w:p>
      <w:pPr>
        <w:spacing w:after="60"/>
        <w:ind w:firstLine="567"/>
        <w:jc w:val="both"/>
      </w:pPr>
      <w:r>
        <w:rPr>
          <w:rFonts w:ascii="Arial" w:cs="Arial" w:eastAsia="Arial" w:hAnsi="Arial"/>
          <w:sz w:val="24"/>
          <w:szCs w:val="24"/>
        </w:rPr>
        <w:t xml:space="preserve">1) энергетическая установка не относится к объектам ВИЭ в соответствии с законодательством Кыргызской Республики в области энергетики;</w:t>
      </w:r>
    </w:p>
    <w:p>
      <w:pPr>
        <w:spacing w:after="60"/>
        <w:ind w:firstLine="567"/>
        <w:jc w:val="both"/>
      </w:pPr>
      <w:r>
        <w:rPr>
          <w:rFonts w:ascii="Arial" w:cs="Arial" w:eastAsia="Arial" w:hAnsi="Arial"/>
          <w:sz w:val="24"/>
          <w:szCs w:val="24"/>
        </w:rPr>
        <w:t xml:space="preserve">2) установленные квоты электрической энергии по максимальному тарифу для конечных потребителей с применением повышающего коэффициента от энергетических установок, с использованием ВИЭ-электроэнергии исчерпаны.</w:t>
      </w:r>
    </w:p>
    <w:p>
      <w:pPr>
        <w:spacing w:after="60"/>
        <w:ind w:firstLine="567"/>
        <w:jc w:val="both"/>
      </w:pPr>
      <w:r>
        <w:rPr>
          <w:rFonts w:ascii="Arial" w:cs="Arial" w:eastAsia="Arial" w:hAnsi="Arial"/>
          <w:sz w:val="24"/>
          <w:szCs w:val="24"/>
        </w:rPr>
        <w:t xml:space="preserve">Необоснованный отказ или задержка в предоставлении тарифных преференций по льготному периоду в рамках квот могут быть обжалованы в соответствии с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35. Заявитель вправе отказаться от своего заявления на любой стадии его рассмотрения.</w:t>
      </w:r>
    </w:p>
    <w:p>
      <w:pPr>
        <w:spacing w:after="200" w:before="200"/>
        <w:jc w:val="center"/>
      </w:pPr>
      <w:r>
        <w:rPr>
          <w:rFonts w:ascii="Arial" w:cs="Arial" w:eastAsia="Arial" w:hAnsi="Arial"/>
          <w:b/>
          <w:bCs/>
          <w:sz w:val="24"/>
          <w:szCs w:val="24"/>
        </w:rPr>
        <w:t xml:space="preserve">Глава 8. Подготовка ПСД и присоединение к электрическим сетям</w:t>
      </w:r>
    </w:p>
    <w:p>
      <w:pPr>
        <w:spacing w:after="60"/>
        <w:ind w:firstLine="567"/>
        <w:jc w:val="both"/>
      </w:pPr>
      <w:r>
        <w:rPr>
          <w:rFonts w:ascii="Arial" w:cs="Arial" w:eastAsia="Arial" w:hAnsi="Arial"/>
          <w:sz w:val="24"/>
          <w:szCs w:val="24"/>
        </w:rPr>
        <w:t xml:space="preserve">36. Подготовка ПСД осуществляется в соответствии с 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При подготовке ПСД на строительство ВИЭ-установки с использованием ВИЭ проводится полная оценка воздействия на окружающую среду. Оценка воздействия на окружающую среду и экологическая экспертиза проекта по строительству ВИЭ-установки проводится в соответствии с природоохранным законодательством Кыргызской Республики.</w:t>
      </w:r>
    </w:p>
    <w:p>
      <w:pPr>
        <w:spacing w:after="60"/>
        <w:ind w:firstLine="567"/>
        <w:jc w:val="both"/>
      </w:pPr>
      <w:r>
        <w:rPr>
          <w:rFonts w:ascii="Arial" w:cs="Arial" w:eastAsia="Arial" w:hAnsi="Arial"/>
          <w:sz w:val="24"/>
          <w:szCs w:val="24"/>
        </w:rPr>
        <w:t xml:space="preserve">37. Технологическое присоединение к электрическим сетям осуществляется в соответствии с Правилами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 утвержденными Правительством Кыргызской Республики.</w:t>
      </w:r>
    </w:p>
    <w:p>
      <w:pPr>
        <w:spacing w:after="200" w:before="200"/>
        <w:jc w:val="center"/>
      </w:pPr>
      <w:r>
        <w:rPr>
          <w:rFonts w:ascii="Arial" w:cs="Arial" w:eastAsia="Arial" w:hAnsi="Arial"/>
          <w:b/>
          <w:bCs/>
          <w:sz w:val="24"/>
          <w:szCs w:val="24"/>
        </w:rPr>
        <w:t xml:space="preserve">Глава 9. Лицензионно-разрешительные документы для осуществления деятельности по поставке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38. Субъекты ВИЭ, изъявившие желание заниматься лицензируемым видом деятельности в области ВИЭ, обязаны получить в уполномоченном государственном органе по регулированию топливно-энергетического комплекса соответствующую лицензию.</w:t>
      </w:r>
    </w:p>
    <w:p>
      <w:pPr>
        <w:spacing w:after="60"/>
        <w:ind w:firstLine="567"/>
        <w:jc w:val="both"/>
      </w:pPr>
      <w:r>
        <w:rPr>
          <w:rFonts w:ascii="Arial" w:cs="Arial" w:eastAsia="Arial" w:hAnsi="Arial"/>
          <w:sz w:val="24"/>
          <w:szCs w:val="24"/>
        </w:rPr>
        <w:t xml:space="preserve">39. Порядок и условия выдачи лицензий субъектам ВИЭ определяются в соответствии с законодательством Кыргызской Республики в области лицензионно-разрешительной системы.</w:t>
      </w:r>
    </w:p>
    <w:p>
      <w:pPr>
        <w:spacing w:after="200" w:before="200"/>
        <w:jc w:val="center"/>
      </w:pPr>
      <w:r>
        <w:rPr>
          <w:rFonts w:ascii="Arial" w:cs="Arial" w:eastAsia="Arial" w:hAnsi="Arial"/>
          <w:b/>
          <w:bCs/>
          <w:sz w:val="24"/>
          <w:szCs w:val="24"/>
        </w:rPr>
        <w:t xml:space="preserve">Глава 10. Установление тарифов на поставку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40. Для получения тарифных преференций в рамках квот и вне квот, для поставки ВИЭ-электроэнергии, субъект ВИЭ представляет в уполномоченный государственный орган по регулированию топливно-энергетического комплекса заявление на установление тарифов.</w:t>
      </w:r>
    </w:p>
    <w:p>
      <w:pPr>
        <w:spacing w:after="60"/>
        <w:ind w:firstLine="567"/>
        <w:jc w:val="both"/>
      </w:pPr>
      <w:r>
        <w:rPr>
          <w:rFonts w:ascii="Arial" w:cs="Arial" w:eastAsia="Arial" w:hAnsi="Arial"/>
          <w:sz w:val="24"/>
          <w:szCs w:val="24"/>
        </w:rPr>
        <w:t xml:space="preserve">41. К заявлению должны быть приложены копии следующих документов:</w:t>
      </w:r>
    </w:p>
    <w:p>
      <w:pPr>
        <w:spacing w:after="60"/>
        <w:ind w:firstLine="567"/>
        <w:jc w:val="both"/>
      </w:pPr>
      <w:r>
        <w:rPr>
          <w:rFonts w:ascii="Arial" w:cs="Arial" w:eastAsia="Arial" w:hAnsi="Arial"/>
          <w:sz w:val="24"/>
          <w:szCs w:val="24"/>
        </w:rPr>
        <w:t xml:space="preserve">1) свидетельства о регистрации субъекта ВИЭ;</w:t>
      </w:r>
    </w:p>
    <w:p>
      <w:pPr>
        <w:spacing w:after="60"/>
        <w:ind w:firstLine="567"/>
        <w:jc w:val="both"/>
      </w:pPr>
      <w:r>
        <w:rPr>
          <w:rFonts w:ascii="Arial" w:cs="Arial" w:eastAsia="Arial" w:hAnsi="Arial"/>
          <w:sz w:val="24"/>
          <w:szCs w:val="24"/>
        </w:rPr>
        <w:t xml:space="preserve">2) лицензии на продажу электрической энергии, произведенной на установках с использованием ВИЭ;</w:t>
      </w:r>
    </w:p>
    <w:p>
      <w:pPr>
        <w:spacing w:after="60"/>
        <w:ind w:firstLine="567"/>
        <w:jc w:val="both"/>
      </w:pPr>
      <w:r>
        <w:rPr>
          <w:rFonts w:ascii="Arial" w:cs="Arial" w:eastAsia="Arial" w:hAnsi="Arial"/>
          <w:sz w:val="24"/>
          <w:szCs w:val="24"/>
        </w:rPr>
        <w:t xml:space="preserve">3) ПСД на планируемую энергетическую ВИЭ-установку;</w:t>
      </w:r>
    </w:p>
    <w:p>
      <w:pPr>
        <w:spacing w:after="60"/>
        <w:ind w:firstLine="567"/>
        <w:jc w:val="both"/>
      </w:pPr>
      <w:r>
        <w:rPr>
          <w:rFonts w:ascii="Arial" w:cs="Arial" w:eastAsia="Arial" w:hAnsi="Arial"/>
          <w:sz w:val="24"/>
          <w:szCs w:val="24"/>
        </w:rPr>
        <w:t xml:space="preserve">4) решения уполномоченного государственного органа по выработке политики в сфере энергетики о предоставлении субъекту ВИЭ-тарифа по льготному периоду в рамках квот.</w:t>
      </w:r>
    </w:p>
    <w:p>
      <w:pPr>
        <w:spacing w:after="60"/>
        <w:ind w:firstLine="567"/>
        <w:jc w:val="both"/>
      </w:pPr>
      <w:r>
        <w:rPr>
          <w:rFonts w:ascii="Arial" w:cs="Arial" w:eastAsia="Arial" w:hAnsi="Arial"/>
          <w:sz w:val="24"/>
          <w:szCs w:val="24"/>
        </w:rPr>
        <w:t xml:space="preserve">42. На основании заявления субъекта ВИЭ уполномоченный государственный орган по регулированию топливно-энергетического комплекса издает приказ о предоставлении тарифа в рамках квот или вне квот субъекту ВИЭ, получившему лицензию на продажу электрической энергии, не позднее 30 (тридцать) календарных дней со дня подачи заявления.</w:t>
      </w:r>
    </w:p>
    <w:p>
      <w:pPr>
        <w:spacing w:after="60"/>
        <w:ind w:firstLine="567"/>
        <w:jc w:val="both"/>
      </w:pPr>
      <w:r>
        <w:rPr>
          <w:rFonts w:ascii="Arial" w:cs="Arial" w:eastAsia="Arial" w:hAnsi="Arial"/>
          <w:sz w:val="24"/>
          <w:szCs w:val="24"/>
        </w:rPr>
        <w:t xml:space="preserve">Необоснованный отказ или задержка в предоставлении тарифов в рамках квот или вне квот субъекту ВИЭ могут быть обжалованы в соответствии с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43. На основании ПСД уполномоченный государственный орган по регулированию топливно-энергетического комплекса устанавливает период окупаемости для ВИЭ-установок, построенных вне рамок квотирования мощностей.</w:t>
      </w:r>
    </w:p>
    <w:p>
      <w:pPr>
        <w:spacing w:after="60"/>
        <w:ind w:firstLine="567"/>
        <w:jc w:val="both"/>
      </w:pPr>
      <w:r>
        <w:rPr>
          <w:rFonts w:ascii="Arial" w:cs="Arial" w:eastAsia="Arial" w:hAnsi="Arial"/>
          <w:sz w:val="24"/>
          <w:szCs w:val="24"/>
        </w:rPr>
        <w:t xml:space="preserve">44. Тарифы на поставку ВИЭ-электроэнергии на договорной основе не подлежат регулированию со стороны уполномоченного государственного органа по регулированию топливно-энергетического комплекса.</w:t>
      </w:r>
    </w:p>
    <w:p>
      <w:pPr>
        <w:spacing w:after="200" w:before="200"/>
        <w:jc w:val="center"/>
      </w:pPr>
      <w:r>
        <w:rPr>
          <w:rFonts w:ascii="Arial" w:cs="Arial" w:eastAsia="Arial" w:hAnsi="Arial"/>
          <w:b/>
          <w:bCs/>
          <w:sz w:val="24"/>
          <w:szCs w:val="24"/>
        </w:rPr>
        <w:t xml:space="preserve">Глава 11. Заключение договора на поставку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45. Субъекты ВИЭ, получившие тариф по льготному периоду в рамках квот или тариф вне рамок квотирования мощностей на период окупаемости, обращаются с заявлением о заключении договора на поставку ВИЭ-электроэнергии в самое крупное распределяющее предприятие в том административно-территориальном образовании, в котором располагается ВИЭ-установка.</w:t>
      </w:r>
    </w:p>
    <w:p>
      <w:pPr>
        <w:spacing w:after="60"/>
        <w:ind w:firstLine="567"/>
        <w:jc w:val="both"/>
      </w:pPr>
      <w:r>
        <w:rPr>
          <w:rFonts w:ascii="Arial" w:cs="Arial" w:eastAsia="Arial" w:hAnsi="Arial"/>
          <w:sz w:val="24"/>
          <w:szCs w:val="24"/>
        </w:rPr>
        <w:t xml:space="preserve">46. К заявлению о заключении договора на поставку электрической энергии, вырабатываемой на ВИЭ-установке, прилагаются копии следующих документов:</w:t>
      </w:r>
    </w:p>
    <w:p>
      <w:pPr>
        <w:spacing w:after="60"/>
        <w:ind w:firstLine="567"/>
        <w:jc w:val="both"/>
      </w:pPr>
      <w:r>
        <w:rPr>
          <w:rFonts w:ascii="Arial" w:cs="Arial" w:eastAsia="Arial" w:hAnsi="Arial"/>
          <w:sz w:val="24"/>
          <w:szCs w:val="24"/>
        </w:rPr>
        <w:t xml:space="preserve">1) свидетельства о регистрации субъекта ВИЭ;</w:t>
      </w:r>
    </w:p>
    <w:p>
      <w:pPr>
        <w:spacing w:after="60"/>
        <w:ind w:firstLine="567"/>
        <w:jc w:val="both"/>
      </w:pPr>
      <w:r>
        <w:rPr>
          <w:rFonts w:ascii="Arial" w:cs="Arial" w:eastAsia="Arial" w:hAnsi="Arial"/>
          <w:sz w:val="24"/>
          <w:szCs w:val="24"/>
        </w:rPr>
        <w:t xml:space="preserve">2) лицензии на продажу электроэнергии;</w:t>
      </w:r>
    </w:p>
    <w:p>
      <w:pPr>
        <w:spacing w:after="60"/>
        <w:ind w:firstLine="567"/>
        <w:jc w:val="both"/>
      </w:pPr>
      <w:r>
        <w:rPr>
          <w:rFonts w:ascii="Arial" w:cs="Arial" w:eastAsia="Arial" w:hAnsi="Arial"/>
          <w:sz w:val="24"/>
          <w:szCs w:val="24"/>
        </w:rPr>
        <w:t xml:space="preserve">3) технических условий на подключение к электрическим сетям;</w:t>
      </w:r>
    </w:p>
    <w:p>
      <w:pPr>
        <w:spacing w:after="60"/>
        <w:ind w:firstLine="567"/>
        <w:jc w:val="both"/>
      </w:pPr>
      <w:r>
        <w:rPr>
          <w:rFonts w:ascii="Arial" w:cs="Arial" w:eastAsia="Arial" w:hAnsi="Arial"/>
          <w:sz w:val="24"/>
          <w:szCs w:val="24"/>
        </w:rPr>
        <w:t xml:space="preserve">4) приказа уполномоченного органа по регулированию топливно-энергетического комплекса по предоставлению тарифа по льготному периоду в рамках квот или тарифа вне рамок квотирования мощностей на определенный период окупаемости.</w:t>
      </w:r>
    </w:p>
    <w:p>
      <w:pPr>
        <w:spacing w:after="60"/>
        <w:ind w:firstLine="567"/>
        <w:jc w:val="both"/>
      </w:pPr>
      <w:r>
        <w:rPr>
          <w:rFonts w:ascii="Arial" w:cs="Arial" w:eastAsia="Arial" w:hAnsi="Arial"/>
          <w:sz w:val="24"/>
          <w:szCs w:val="24"/>
        </w:rPr>
        <w:t xml:space="preserve">47. Распределяющее предприятие и субъект ВИЭ подписывают договор на поставку ВИЭ-электроэнергии не позднее 14 (четырнадцать) рабочих дней со дня подачи заявления.</w:t>
      </w:r>
    </w:p>
    <w:p>
      <w:pPr>
        <w:spacing w:after="60"/>
        <w:ind w:firstLine="567"/>
        <w:jc w:val="both"/>
      </w:pPr>
      <w:r>
        <w:rPr>
          <w:rFonts w:ascii="Arial" w:cs="Arial" w:eastAsia="Arial" w:hAnsi="Arial"/>
          <w:sz w:val="24"/>
          <w:szCs w:val="24"/>
        </w:rPr>
        <w:t xml:space="preserve">Необоснованный отказ в заключении договора или его задержка могут быть обжалованы в соответствии с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48. Исполнение обязательств по договору на поставку ВИЭ-электроэнергии субъектами ВИЭ, получившими тариф по льготному периоду в рамках квот, обеспечивается гарантийным депозитом, вносимым субъектом ВИЭ на депозитный счет уполномоченного государственного органа по выработке политики в сфере энергетики. Гарантийный депозит вносится в денежной форме в размере 5 (пять) процентов от стоимости заявленного субъектом ВИЭ планируемого годового объема выработки ВИЭ-электроэнергии. В случае ненадлежащего исполнения субъектом ВИЭ условий договора гарантийный депозит не возвращается и поступает в республиканский бюджет.</w:t>
      </w:r>
    </w:p>
    <w:p>
      <w:pPr>
        <w:spacing w:after="200" w:before="200"/>
        <w:jc w:val="center"/>
      </w:pPr>
      <w:r>
        <w:rPr>
          <w:rFonts w:ascii="Arial" w:cs="Arial" w:eastAsia="Arial" w:hAnsi="Arial"/>
          <w:b/>
          <w:bCs/>
          <w:sz w:val="24"/>
          <w:szCs w:val="24"/>
        </w:rPr>
        <w:t xml:space="preserve">Глава 12. Строительство установок с использованием ВИЭ</w:t>
      </w:r>
    </w:p>
    <w:p>
      <w:pPr>
        <w:spacing w:after="60"/>
        <w:ind w:firstLine="567"/>
        <w:jc w:val="both"/>
      </w:pPr>
      <w:r>
        <w:rPr>
          <w:rFonts w:ascii="Arial" w:cs="Arial" w:eastAsia="Arial" w:hAnsi="Arial"/>
          <w:sz w:val="24"/>
          <w:szCs w:val="24"/>
        </w:rPr>
        <w:t xml:space="preserve">49. Строительство и сдача в эксплуатацию ВИЭ-установок осуществляется в соответствии с нормами градостроительного законодательства Кыргызской Республики и 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утвержденное Правительством Кыргызской Республики.</w:t>
      </w:r>
    </w:p>
    <w:p>
      <w:pPr>
        <w:spacing w:after="200" w:before="200"/>
        <w:jc w:val="center"/>
      </w:pPr>
      <w:r>
        <w:rPr>
          <w:rFonts w:ascii="Arial" w:cs="Arial" w:eastAsia="Arial" w:hAnsi="Arial"/>
          <w:b/>
          <w:bCs/>
          <w:sz w:val="24"/>
          <w:szCs w:val="24"/>
        </w:rPr>
        <w:t xml:space="preserve">Глава 13. Приемка и ввод в эксплуатацию ВИЭ-установки</w:t>
      </w:r>
    </w:p>
    <w:p>
      <w:pPr>
        <w:spacing w:after="60"/>
        <w:ind w:firstLine="567"/>
        <w:jc w:val="both"/>
      </w:pPr>
      <w:r>
        <w:rPr>
          <w:rFonts w:ascii="Arial" w:cs="Arial" w:eastAsia="Arial" w:hAnsi="Arial"/>
          <w:sz w:val="24"/>
          <w:szCs w:val="24"/>
        </w:rPr>
        <w:t xml:space="preserve">50. Акт оценки соответствия вводимого в эксплуатацию завершенного строительством объекта - ВИЭ-установки является основанием для ввода в эксплуатацию ВИЭ-установки. Копия данного акта передается субъектом ВИЭ уполномоченному государственному органу по выработке политики в сфере энергетики для внесения соответствующих изменений в Реестр субъектов ВИЭ.</w:t>
      </w:r>
    </w:p>
    <w:p>
      <w:pPr>
        <w:spacing w:after="60"/>
        <w:ind w:firstLine="567"/>
        <w:jc w:val="both"/>
      </w:pPr>
      <w:r>
        <w:rPr>
          <w:rFonts w:ascii="Arial" w:cs="Arial" w:eastAsia="Arial" w:hAnsi="Arial"/>
          <w:sz w:val="24"/>
          <w:szCs w:val="24"/>
        </w:rPr>
        <w:t xml:space="preserve">51. Субъект ВИЭ после ввода в эксплуатацию ВИЭ-установки уведомляет уполномоченный государственный орган по выработке политики в сфере энергетики о результатах своей деятельности (количество вырабатываемой электрической энергии, производства и продажи электроэнергии) по итогам полугодия.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субъектов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947"/>
        <w:gridCol w:w="940"/>
        <w:gridCol w:w="1138"/>
        <w:gridCol w:w="981"/>
        <w:gridCol w:w="906"/>
        <w:gridCol w:w="682"/>
        <w:gridCol w:w="1028"/>
        <w:gridCol w:w="681"/>
        <w:gridCol w:w="681"/>
        <w:gridCol w:w="681"/>
        <w:gridCol w:w="681"/>
        <w:gridCol w:w="578"/>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ВИЭ-установки</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w:t>
            </w:r>
          </w:p>
        </w:tc>
        <w:tc>
          <w:tcPr>
            <w:tcW w:type="dxa" w:w="11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возобновляемого источника энергии</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Установленная мощность, МВт</w:t>
            </w:r>
          </w:p>
        </w:tc>
        <w:tc>
          <w:tcPr>
            <w:tcW w:type="dxa" w:w="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деятельности</w:t>
            </w:r>
          </w:p>
        </w:tc>
        <w:tc>
          <w:tcPr>
            <w:tcW w:type="dxa" w:w="6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Владелец</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Идентификация владельца</w:t>
            </w:r>
          </w:p>
        </w:tc>
        <w:tc>
          <w:tcPr>
            <w:tcW w:type="dxa" w:w="27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Свидетельство</w:t>
            </w:r>
          </w:p>
        </w:tc>
        <w:tc>
          <w:tcPr>
            <w:tcW w:type="dxa" w:w="5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отметки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аннулирования</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выдаче дубликата</w:t>
            </w:r>
          </w:p>
        </w:tc>
        <w:tc>
          <w:tcPr>
            <w:vMerge w:val="continue"/>
            <w:tcBorders>
              <w:top w:val="single" w:color="CBBF9E" w:sz="4"/>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400" w:before="400"/>
        <w:jc w:val="center"/>
      </w:pPr>
      <w:r>
        <w:rPr>
          <w:rFonts w:ascii="Arial" w:cs="Arial" w:eastAsia="Arial" w:hAnsi="Arial"/>
          <w:b/>
          <w:bCs/>
          <w:sz w:val="32"/>
          <w:szCs w:val="32"/>
        </w:rPr>
        <w:t xml:space="preserve">СВИДЕТЕЛЬСТВО
 о регистрации субъекта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275"/>
        <w:gridCol w:w="275"/>
        <w:gridCol w:w="275"/>
        <w:gridCol w:w="275"/>
        <w:gridCol w:w="275"/>
        <w:gridCol w:w="275"/>
        <w:gridCol w:w="275"/>
        <w:gridCol w:w="275"/>
        <w:gridCol w:w="275"/>
        <w:gridCol w:w="275"/>
        <w:gridCol w:w="275"/>
        <w:gridCol w:w="275"/>
        <w:gridCol w:w="4745"/>
        <w:gridCol w:w="1861"/>
      </w:tblGrid>
      <w:tr>
        <w:tc>
          <w:tcPr>
            <w:tcW w:type="dxa" w:w="3575"/>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Серия и номер свидетельства</w:t>
            </w:r>
          </w:p>
        </w:tc>
        <w:tc>
          <w:tcPr>
            <w:tcW w:type="dxa" w:w="474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выдачи свидетельства</w:t>
            </w:r>
          </w:p>
        </w:tc>
      </w:tr>
      <w:tr>
        <w:tc>
          <w:tcPr>
            <w:tcW w:type="dxa" w:w="27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4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__" </w:t>
            </w:r>
            <w:r>
              <w:rPr>
                <w:rFonts w:ascii="Arial" w:cs="Arial" w:eastAsia="Arial" w:hAnsi="Arial"/>
                <w:sz w:val="24"/>
                <w:szCs w:val="24"/>
              </w:rPr>
              <w:t xml:space="preserve">_____________</w:t>
            </w:r>
            <w:r>
              <w:rPr>
                <w:rFonts w:ascii="Arial" w:cs="Arial" w:eastAsia="Arial" w:hAnsi="Arial"/>
                <w:sz w:val="24"/>
                <w:szCs w:val="24"/>
              </w:rPr>
              <w:t xml:space="preserve">_____ 20</w:t>
            </w:r>
            <w:r>
              <w:rPr>
                <w:rFonts w:ascii="Arial" w:cs="Arial" w:eastAsia="Arial" w:hAnsi="Arial"/>
                <w:sz w:val="24"/>
                <w:szCs w:val="24"/>
              </w:rPr>
              <w:t xml:space="preserve">_</w:t>
            </w:r>
            <w:r>
              <w:rPr>
                <w:rFonts w:ascii="Arial" w:cs="Arial" w:eastAsia="Arial" w:hAnsi="Arial"/>
                <w:sz w:val="24"/>
                <w:szCs w:val="24"/>
              </w:rPr>
              <w:t xml:space="preserve">_ </w:t>
            </w:r>
            <w:r>
              <w:rPr>
                <w:rFonts w:ascii="Arial" w:cs="Arial" w:eastAsia="Arial" w:hAnsi="Arial"/>
                <w:sz w:val="24"/>
                <w:szCs w:val="24"/>
              </w:rPr>
              <w:t xml:space="preserve">года</w:t>
            </w:r>
          </w:p>
        </w:tc>
      </w:tr>
      <w:tr>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Настоящее свидетельство удостоверяет право осуществлять деятельность
 в сфере возобновляемых источников энергии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лица - собственника или иного законного владельца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генерирующего объекта)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установки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(месторасположение генерирующего объекта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(вид установки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 МВт</w:t>
      </w:r>
    </w:p>
    <w:p>
      <w:pPr>
        <w:spacing w:after="60"/>
        <w:ind w:firstLine="567"/>
        <w:jc w:val="both"/>
      </w:pPr>
      <w:r>
        <w:rPr>
          <w:rFonts w:ascii="Arial" w:cs="Arial" w:eastAsia="Arial" w:hAnsi="Arial"/>
          <w:sz w:val="24"/>
          <w:szCs w:val="24"/>
        </w:rPr>
        <w:t xml:space="preserve">          (установленная мощность генерирующего объекта возобновляемых</w:t>
      </w:r>
    </w:p>
    <w:p>
      <w:pPr>
        <w:spacing w:after="60"/>
        <w:ind w:firstLine="567"/>
        <w:jc w:val="both"/>
      </w:pPr>
      <w:r>
        <w:rPr>
          <w:rFonts w:ascii="Arial" w:cs="Arial" w:eastAsia="Arial" w:hAnsi="Arial"/>
          <w:sz w:val="24"/>
          <w:szCs w:val="24"/>
        </w:rPr>
        <w:t xml:space="preserve">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правовой режим деятельности в области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    ______________________________________</w:t>
      </w:r>
    </w:p>
    <w:p>
      <w:pPr>
        <w:spacing w:after="60"/>
        <w:ind w:firstLine="567"/>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6re8xtdxklpl6p1ihw0s" Type="http://schemas.openxmlformats.org/officeDocument/2006/relationships/hyperlink" Target="http://kodeks.duckdns.org/document/159588" TargetMode="External"/><Relationship Id="rIdnyb13t2jo_d3unf0zxqid" Type="http://schemas.openxmlformats.org/officeDocument/2006/relationships/hyperlink" Target="http://kodeks.duckdns.org/document/663" TargetMode="External"/><Relationship Id="rIdjxvd5mvlmt9tlh04po8hp" Type="http://schemas.openxmlformats.org/officeDocument/2006/relationships/hyperlink" Target="http://kodeks.duckdns.org/document/508" TargetMode="External"/><Relationship Id="rIdmcnczx4iqzfc3yqi9ag2k" Type="http://schemas.openxmlformats.org/officeDocument/2006/relationships/hyperlink" Target="http://kodeks.duckdns.org/document/203243" TargetMode="External"/><Relationship Id="rIdo1xfeidhsemmb-zal3qjx" Type="http://schemas.openxmlformats.org/officeDocument/2006/relationships/hyperlink" Target="http://kodeks.duckdns.org/document/203243" TargetMode="External"/><Relationship Id="rId44yospdgus7hcvuvyc0u7" Type="http://schemas.openxmlformats.org/officeDocument/2006/relationships/hyperlink" Target="http://kodeks.duckdns.org/document/203243" TargetMode="External"/><Relationship Id="rIdq_z2cg8rw7bi6ljzoaabq" Type="http://schemas.openxmlformats.org/officeDocument/2006/relationships/hyperlink" Target="http://kodeks.duckdns.org/document/4" TargetMode="External"/><Relationship Id="rId91izzihsu_-pap8hyif8a" Type="http://schemas.openxmlformats.org/officeDocument/2006/relationships/hyperlink" Target="http://kodeks.duckdns.org/document/203243" TargetMode="External"/><Relationship Id="rId77-xpou904pnhk0acpniq" Type="http://schemas.openxmlformats.org/officeDocument/2006/relationships/hyperlink" Target="http://kodeks.duckdns.org/document/157885#g7" TargetMode="External"/><Relationship Id="rIdjskz76icees9sqcta4e61" Type="http://schemas.openxmlformats.org/officeDocument/2006/relationships/hyperlink" Target="http://kodeks.duckdns.org/document/203243" TargetMode="External"/><Relationship Id="rIdm60cpc9jnaqpvbg0h0abz" Type="http://schemas.openxmlformats.org/officeDocument/2006/relationships/hyperlink" Target="http://kodeks.duckdns.org/document/157885#pr1" TargetMode="External"/><Relationship Id="rIdkryh4f7jxbba3pqbipzmi" Type="http://schemas.openxmlformats.org/officeDocument/2006/relationships/hyperlink" Target="http://kodeks.duckdns.org/document/157885#pr2" TargetMode="External"/><Relationship Id="rIdpkyct-uwsobicges7mfuz" Type="http://schemas.openxmlformats.org/officeDocument/2006/relationships/hyperlink" Target="http://kodeks.duckdns.org/document/157885#pr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2026-09-23T04:27:21.904Z</dcterms:created>
  <dcterms:modified xsi:type="dcterms:W3CDTF">2026-09-23T04:27:21.904Z</dcterms:modified>
</cp:coreProperties>
</file>

<file path=docProps/custom.xml><?xml version="1.0" encoding="utf-8"?>
<Properties xmlns="http://schemas.openxmlformats.org/officeDocument/2006/custom-properties" xmlns:vt="http://schemas.openxmlformats.org/officeDocument/2006/docPropsVTypes"/>
</file>