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сентября 2020 года № 477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такс для исчисления размера взысканий за ущерб, причиненный объектам животного и растительного мира, мумиесодержащему минеральному сырью и грибам юридическими и физическими лицами" от 3 мая 2013 года № 224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охраны объектов растительного мира, повышения ответственности за не соблюдение установленного порядка в осуществлении природопользования, в соответствии со статьями </w:t>
      </w:r>
      <w:hyperlink w:history="1" r:id="rIdirjm0xuyoeujne8acwr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9dftbwtjdh0vwxvjmf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ocxwbmxggl_r5fi5h0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такс для исчисления размера взысканий за ущерб, причиненный объектам животного и растительного мира, мумиесодержащему минеральному сырью и грибам юридическими и физическими лицами" от 3 мая 2013 года № 224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ijm-ihb_rprut3ucprh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Таксах</w:t>
        </w:r>
      </w:hyperlink>
      <w:r>
        <w:rPr>
          <w:rFonts w:ascii="Arial" w:cs="Arial" w:eastAsia="Arial" w:hAnsi="Arial"/>
          <w:sz w:val="24"/>
          <w:szCs w:val="24"/>
        </w:rPr>
        <w:t xml:space="preserve"> для исчисления размера взысканий за ущерб, причиненный незаконной порубкой и повреждением деревьев и кустарников, самовольным присвоением (хищение) ветровальной и буреломной древесины юридическими и физическими лицами, утвержденных вышеуказанным </w:t>
      </w:r>
      <w:hyperlink w:history="1" r:id="rIdymunes9kjgqh8h1yvfm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12 графы "Вид нарушений" цифру "30" заменить цифрой "32";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дополнить пунктом 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За незаконную рубку, повреждение до степени прекращения роста особо ценных древесных пород, ущерб рассчитывается с увеличением таксы в трехкратном размере.".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-xn0pys1j-avv8u2dae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Таксы</w:t>
        </w:r>
      </w:hyperlink>
      <w:r>
        <w:rPr>
          <w:rFonts w:ascii="Arial" w:cs="Arial" w:eastAsia="Arial" w:hAnsi="Arial"/>
          <w:sz w:val="24"/>
          <w:szCs w:val="24"/>
        </w:rPr>
        <w:t xml:space="preserve"> для исчисления размера взысканий за ущерб, причиненный самовольным сенокошением, пастьбой скота, размещением ульев и пасек на землях государственного лесного фонда юридическими и физическими лицами, изложить в редакции согласно </w:t>
      </w:r>
      <w:hyperlink w:history="1" r:id="rId_-25tojx9vbteg1_zza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и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сентября 2020 года № 80 (3152)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"таксы
 для исчисления размера взысканий за ущерб, причиненный самовольным сенокошением, пастьбой скота, размещением ульев и пасек юридическими и физическими лицами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3238"/>
        <w:gridCol w:w="3238"/>
        <w:gridCol w:w="3226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647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 нарушения</w:t>
            </w:r>
          </w:p>
        </w:tc>
        <w:tc>
          <w:tcPr>
            <w:tcW w:type="dxa" w:w="32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Таксы (в сомах)</w:t>
            </w:r>
          </w:p>
        </w:tc>
      </w:tr>
      <w:tr>
        <w:tc>
          <w:tcPr>
            <w:tcW w:type="dxa" w:w="4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2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Самовольное сенокошение:</w:t>
            </w:r>
          </w:p>
        </w:tc>
        <w:tc>
          <w:tcPr>
            <w:tcW w:type="dxa" w:w="3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на участках, выделенных в сенокосные угодья:</w:t>
            </w:r>
          </w:p>
        </w:tc>
        <w:tc>
          <w:tcPr>
            <w:tcW w:type="dxa" w:w="3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 каждый гектар самовольно выкошенной площади с изъятием накошенной травы (сена):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сеяные травы (30 ц на 1 га)</w:t>
            </w:r>
          </w:p>
        </w:tc>
        <w:tc>
          <w:tcPr>
            <w:tcW w:type="dxa" w:w="3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пятикратная стоимость сена (5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⨯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⨯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Ц сом)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естественные улучшенные (20 ц на 1 га)</w:t>
            </w:r>
          </w:p>
        </w:tc>
        <w:tc>
          <w:tcPr>
            <w:tcW w:type="dxa" w:w="3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пятикратная стоимость сена (5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⨯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⨯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Ц сом)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естественные, без улучшения (12 ц на 1 га)</w:t>
            </w:r>
          </w:p>
        </w:tc>
        <w:tc>
          <w:tcPr>
            <w:tcW w:type="dxa" w:w="3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трехкратная стоимость сена (3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⨯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⨯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Ц сом)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 на площадях, не предназначенных для сенокошения</w:t>
            </w:r>
          </w:p>
        </w:tc>
        <w:tc>
          <w:tcPr>
            <w:tcW w:type="dxa" w:w="3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⨯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Ц 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 на землях государственных природных заповедников, государственных заказников, государственных природных парков и других особо охраняемых природных территорий</w:t>
            </w:r>
          </w:p>
        </w:tc>
        <w:tc>
          <w:tcPr>
            <w:tcW w:type="dxa" w:w="3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трехкратном размере ущерба, предусмотренного подпунктами 1 и 2 настоящего пункта</w:t>
            </w:r>
          </w:p>
        </w:tc>
      </w:tr>
      <w:tr>
        <w:tc>
          <w:tcPr>
            <w:tcW w:type="dxa" w:w="4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2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Самовольная пастьба скота (за 1 голову):</w:t>
            </w:r>
          </w:p>
        </w:tc>
        <w:tc>
          <w:tcPr>
            <w:tcW w:type="dxa" w:w="3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на пастбищных участках:</w:t>
            </w:r>
          </w:p>
        </w:tc>
        <w:tc>
          <w:tcPr>
            <w:tcW w:type="dxa" w:w="3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крупный рогатый скот и лошади в возрасте от двух лет</w:t>
            </w:r>
          </w:p>
        </w:tc>
        <w:tc>
          <w:tcPr>
            <w:tcW w:type="dxa" w:w="3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молодняк крупного рогатого скота или лошади в возрасте до двух лет и мелкий рогатый скот (кроме коз)</w:t>
            </w:r>
          </w:p>
        </w:tc>
        <w:tc>
          <w:tcPr>
            <w:tcW w:type="dxa" w:w="3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мелкий скот - козы</w:t>
            </w:r>
          </w:p>
        </w:tc>
        <w:tc>
          <w:tcPr>
            <w:tcW w:type="dxa" w:w="3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 на площадях лесного фонда, не предназначенных для пастьбы скота</w:t>
            </w:r>
          </w:p>
        </w:tc>
        <w:tc>
          <w:tcPr>
            <w:tcW w:type="dxa" w:w="3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трехкратном размере ущерба, предусмотренного подпунктом 1 настоящего пункта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 на землях заповедников, заказников, природных парков, зеленых зон городов</w:t>
            </w:r>
          </w:p>
        </w:tc>
        <w:tc>
          <w:tcPr>
            <w:tcW w:type="dxa" w:w="3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пятикратном размере ущерба, предусмотренного подпунктом 1 настоящего пункта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4) при повторной пастьбе коз</w:t>
            </w:r>
          </w:p>
        </w:tc>
        <w:tc>
          <w:tcPr>
            <w:tcW w:type="dxa" w:w="3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пятикратном размере ущерба, предусмотренного подпунктом 1 настоящего пункта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Самовольное размещение пасек</w:t>
            </w:r>
          </w:p>
        </w:tc>
        <w:tc>
          <w:tcPr>
            <w:tcW w:type="dxa" w:w="3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пятикратном размере земельного налога на площадь, занятую пасекой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Принимается выход сена с 1 га угодий: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сеяных трав - 30 центнеров;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естественных улучшенных - 20 центнеров;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естественных, без улучшения - 12 центнеров.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За "Ц" принимается стоимость 1 центнера сена по розничным (рыночным) ценам, действующим в данной местности.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Если самовольным сенокошением или пастьбой скота повреждены лесные культуры, молодняк естественного происхождения или самосев, размер взысканий начисляется одновременно по настоящим таксам, для исчисления размера взысканий за ущерб, причиненный незаконной порубкой и повреждением деревьев и кустарников, самовольным присвоением (хищение) ветровальной и буреломной древесины.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 При невозможности изъятия накошенной травы (сена) взыскание за ущерб, причиненный самовольным сенокошением, увеличивается на стоимость скошенного сена от рыночной цены.".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nebxwz73vbwp5iilnp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dalil.kg/document/157891</w:t>
      </w:r>
    </w:hyperlink>
  </w:p>
  <w:p>
    <w:pPr>
      <w:spacing w:after="0" w:before="40"/>
      <w:jc w:val="center"/>
    </w:pPr>
    <w:hyperlink w:history="1" r:id="rIdggtqrqryeupomanhion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rjm0xuyoeujne8acwrhu" Type="http://schemas.openxmlformats.org/officeDocument/2006/relationships/hyperlink" Target="https://dalil.kg/document/203685#st_10" TargetMode="External"/><Relationship Id="rIdv9dftbwtjdh0vwxvjmfrv" Type="http://schemas.openxmlformats.org/officeDocument/2006/relationships/hyperlink" Target="https://dalil.kg/document/203685#st_17" TargetMode="External"/><Relationship Id="rIdxocxwbmxggl_r5fi5h0tg" Type="http://schemas.openxmlformats.org/officeDocument/2006/relationships/hyperlink" Target="https://dalil.kg/document/94337" TargetMode="External"/><Relationship Id="rIdijm-ihb_rprut3ucprhlv" Type="http://schemas.openxmlformats.org/officeDocument/2006/relationships/hyperlink" Target="https://dalil.kg/document/94337#p2" TargetMode="External"/><Relationship Id="rIdymunes9kjgqh8h1yvfmot" Type="http://schemas.openxmlformats.org/officeDocument/2006/relationships/hyperlink" Target="https://dalil.kg/document/94337" TargetMode="External"/><Relationship Id="rId-xn0pys1j-avv8u2daeom" Type="http://schemas.openxmlformats.org/officeDocument/2006/relationships/hyperlink" Target="https://dalil.kg/document/94337#p7" TargetMode="External"/><Relationship Id="rId_-25tojx9vbteg1_zzany" Type="http://schemas.openxmlformats.org/officeDocument/2006/relationships/hyperlink" Target="https://dalil.kg/document/157891#pr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nebxwz73vbwp5iilnpou" Type="http://schemas.openxmlformats.org/officeDocument/2006/relationships/hyperlink" Target="https://dalil.kg/document/157891" TargetMode="External"/><Relationship Id="rIdggtqrqryeupomanhiont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2026-09-23T22:50:37.486Z</dcterms:created>
  <dcterms:modified xsi:type="dcterms:W3CDTF">2026-09-23T22:50:37.486Z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