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32"/>
          <w:szCs w:val="32"/>
        </w:rPr>
        <w:t xml:space="preserve">ПОСТАНОВЛЕНИЕ ПРАВИТЕЛЬСТВА КЫРГЫЗСКОЙ РЕСПУБЛИКИ</w:t>
      </w:r>
    </w:p>
    <w:p>
      <w:pPr>
        <w:spacing w:after="240"/>
        <w:jc w:val="both"/>
      </w:pPr>
      <w:r>
        <w:rPr>
          <w:rFonts w:ascii="Arial" w:cs="Arial" w:eastAsia="Arial" w:hAnsi="Arial"/>
          <w:sz w:val="24"/>
          <w:szCs w:val="24"/>
        </w:rPr>
        <w:t xml:space="preserve">от 17 декабря 2020 года № 617</w:t>
      </w:r>
    </w:p>
    <w:p>
      <w:pPr>
        <w:spacing w:after="480" w:before="200"/>
        <w:jc w:val="center"/>
      </w:pPr>
      <w:r>
        <w:rPr>
          <w:rFonts w:ascii="Arial" w:cs="Arial" w:eastAsia="Arial" w:hAnsi="Arial"/>
          <w:b/>
          <w:bCs/>
          <w:sz w:val="28"/>
          <w:szCs w:val="28"/>
        </w:rPr>
        <w:t xml:space="preserve">Об утверждении Плана мероприятий по устранению нарушений и недостатков, указанных в отчете Счетной палаты Кыргызской Республики об аудите исполнения республиканского бюджета Кыргызской Республики за 2019 год</w:t>
      </w:r>
    </w:p>
    <w:p>
      <w:pPr>
        <w:spacing w:after="120"/>
        <w:ind w:firstLine="397"/>
        <w:jc w:val="both"/>
      </w:pPr>
      <w:r>
        <w:rPr>
          <w:rFonts w:ascii="Arial" w:cs="Arial" w:eastAsia="Arial" w:hAnsi="Arial"/>
          <w:sz w:val="24"/>
          <w:szCs w:val="24"/>
        </w:rPr>
        <w:t xml:space="preserve">В целях устранения нарушений и недостатков, указанных в отчете Счетной палаты Кыргызской Республики об аудите исполнения республиканского бюджета Кыргызской Республики за 2019 год, в соответствии с пунктом 5 статьи 116 Бюджетного </w:t>
      </w:r>
      <w:hyperlink w:history="1" r:id="rIdbniolbtfszawtqmjqavwu">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статьями </w:t>
      </w:r>
      <w:hyperlink w:history="1" r:id="rIdqc8wtxxdriopqcbjinvjg">
        <w:r>
          <w:rPr>
            <w:rFonts w:ascii="Arial" w:cs="Arial" w:eastAsia="Arial" w:hAnsi="Arial"/>
            <w:color w:val="1D4ED8"/>
            <w:sz w:val="24"/>
            <w:szCs w:val="24"/>
            <w:u w:val="single"/>
          </w:rPr>
          <w:t xml:space="preserve">10</w:t>
        </w:r>
      </w:hyperlink>
      <w:r>
        <w:rPr>
          <w:rFonts w:ascii="Arial" w:cs="Arial" w:eastAsia="Arial" w:hAnsi="Arial"/>
          <w:sz w:val="24"/>
          <w:szCs w:val="24"/>
        </w:rPr>
        <w:t xml:space="preserve"> и </w:t>
      </w:r>
      <w:hyperlink w:history="1" r:id="rIdmefqjjqzaq5crwr2c_zgu">
        <w:r>
          <w:rPr>
            <w:rFonts w:ascii="Arial" w:cs="Arial" w:eastAsia="Arial" w:hAnsi="Arial"/>
            <w:color w:val="1D4ED8"/>
            <w:sz w:val="24"/>
            <w:szCs w:val="24"/>
            <w:u w:val="single"/>
          </w:rPr>
          <w:t xml:space="preserve">17</w:t>
        </w:r>
      </w:hyperlink>
      <w:r>
        <w:rPr>
          <w:rFonts w:ascii="Arial" w:cs="Arial" w:eastAsia="Arial" w:hAnsi="Arial"/>
          <w:sz w:val="24"/>
          <w:szCs w:val="24"/>
        </w:rPr>
        <w:t xml:space="preserve"> конституционного Закона Кыргызской Республики "О Правительстве Кыргызской Республики" Правительство Кыргызской Республики постановляет:</w:t>
      </w:r>
    </w:p>
    <w:p>
      <w:pPr>
        <w:spacing w:after="120"/>
        <w:ind w:firstLine="397"/>
        <w:jc w:val="both"/>
      </w:pPr>
      <w:r>
        <w:rPr>
          <w:rFonts w:ascii="Arial" w:cs="Arial" w:eastAsia="Arial" w:hAnsi="Arial"/>
          <w:sz w:val="24"/>
          <w:szCs w:val="24"/>
        </w:rPr>
        <w:t xml:space="preserve">1. Принять к сведению отчет Счетной палаты Кыргызской Республики об аудите исполнения республиканского бюджета Кыргызской Республики за 2019 год.</w:t>
      </w:r>
    </w:p>
    <w:p>
      <w:pPr>
        <w:spacing w:after="120"/>
        <w:ind w:firstLine="397"/>
        <w:jc w:val="both"/>
      </w:pPr>
      <w:r>
        <w:rPr>
          <w:rFonts w:ascii="Arial" w:cs="Arial" w:eastAsia="Arial" w:hAnsi="Arial"/>
          <w:sz w:val="24"/>
          <w:szCs w:val="24"/>
        </w:rPr>
        <w:t xml:space="preserve">2. Утвердить </w:t>
      </w:r>
      <w:hyperlink w:history="1" r:id="rIdp6zp64zpihln7j0tk00hz">
        <w:r>
          <w:rPr>
            <w:rFonts w:ascii="Arial" w:cs="Arial" w:eastAsia="Arial" w:hAnsi="Arial"/>
            <w:color w:val="1D4ED8"/>
            <w:sz w:val="24"/>
            <w:szCs w:val="24"/>
            <w:u w:val="single"/>
          </w:rPr>
          <w:t xml:space="preserve">План</w:t>
        </w:r>
      </w:hyperlink>
      <w:r>
        <w:rPr>
          <w:rFonts w:ascii="Arial" w:cs="Arial" w:eastAsia="Arial" w:hAnsi="Arial"/>
          <w:sz w:val="24"/>
          <w:szCs w:val="24"/>
        </w:rPr>
        <w:t xml:space="preserve"> мероприятий по устранению нарушений и недостатков, указанных в отчете Счетной палаты Кыргызской Республики об аудите исполнения республиканского бюджета Кыргызской Республики за 2019 год, согласно приложению.</w:t>
      </w:r>
    </w:p>
    <w:p>
      <w:pPr>
        <w:spacing w:after="120"/>
        <w:ind w:firstLine="397"/>
        <w:jc w:val="both"/>
      </w:pPr>
      <w:r>
        <w:rPr>
          <w:rFonts w:ascii="Arial" w:cs="Arial" w:eastAsia="Arial" w:hAnsi="Arial"/>
          <w:sz w:val="24"/>
          <w:szCs w:val="24"/>
        </w:rPr>
        <w:t xml:space="preserve">3. Министерствам, государственным комитетам, административным ведомствам и иным государственным органам исполнительной власти Кыргызской Республики:</w:t>
      </w:r>
    </w:p>
    <w:p>
      <w:pPr>
        <w:spacing w:after="120"/>
        <w:ind w:firstLine="397"/>
        <w:jc w:val="both"/>
      </w:pPr>
      <w:r>
        <w:rPr>
          <w:rFonts w:ascii="Arial" w:cs="Arial" w:eastAsia="Arial" w:hAnsi="Arial"/>
          <w:sz w:val="24"/>
          <w:szCs w:val="24"/>
        </w:rPr>
        <w:t xml:space="preserve">1) устранить нарушения и недостатки, выявленные Счетной палатой Кыргызской Республики в ходе аудита исполнения республиканского бюджета Кыргызской Республики за 2019 год;</w:t>
      </w:r>
    </w:p>
    <w:p>
      <w:pPr>
        <w:spacing w:after="120"/>
        <w:ind w:firstLine="397"/>
        <w:jc w:val="both"/>
      </w:pPr>
      <w:r>
        <w:rPr>
          <w:rFonts w:ascii="Arial" w:cs="Arial" w:eastAsia="Arial" w:hAnsi="Arial"/>
          <w:sz w:val="24"/>
          <w:szCs w:val="24"/>
        </w:rPr>
        <w:t xml:space="preserve">2) рассмотреть ответственность должностных лиц, допустивших нарушения и недостатки при исполнении республиканского бюджета Кыргызской Республики за 2019 год и неисполнение предписаний и рекомендаций Счетной палаты Кыргызской Республики по результатам предыдущего аудита;</w:t>
      </w:r>
    </w:p>
    <w:p>
      <w:pPr>
        <w:spacing w:after="120"/>
        <w:ind w:firstLine="397"/>
        <w:jc w:val="both"/>
      </w:pPr>
      <w:r>
        <w:rPr>
          <w:rFonts w:ascii="Arial" w:cs="Arial" w:eastAsia="Arial" w:hAnsi="Arial"/>
          <w:sz w:val="24"/>
          <w:szCs w:val="24"/>
        </w:rPr>
        <w:t xml:space="preserve">3) разработать и утвердить ведомственный план мероприятий по выполнению предписаний и рекомендаций Счетной палаты Кыргызской Республики (далее - ведомственный план) по итогам аудита исполнения республиканского бюджета Кыргызской Республики за 2019 год;</w:t>
      </w:r>
    </w:p>
    <w:p>
      <w:pPr>
        <w:spacing w:after="120"/>
        <w:ind w:firstLine="397"/>
        <w:jc w:val="both"/>
      </w:pPr>
      <w:r>
        <w:rPr>
          <w:rFonts w:ascii="Arial" w:cs="Arial" w:eastAsia="Arial" w:hAnsi="Arial"/>
          <w:sz w:val="24"/>
          <w:szCs w:val="24"/>
        </w:rPr>
        <w:t xml:space="preserve">4) предусмотреть в ведомственном плане мероприятия по выполнению неисполненных предписаний и рекомендаций Счетной палаты Кыргызской Республики по результатам предыдущего аудита;</w:t>
      </w:r>
    </w:p>
    <w:p>
      <w:pPr>
        <w:spacing w:after="120"/>
        <w:ind w:firstLine="397"/>
        <w:jc w:val="both"/>
      </w:pPr>
      <w:r>
        <w:rPr>
          <w:rFonts w:ascii="Arial" w:cs="Arial" w:eastAsia="Arial" w:hAnsi="Arial"/>
          <w:sz w:val="24"/>
          <w:szCs w:val="24"/>
        </w:rPr>
        <w:t xml:space="preserve">5) ежеквартально, не позднее 15 числа месяца, следующего за отчетным периодом, представлять в Счетную палату Кыргызской Республики информацию о принятых мерах по выполнению предписаний и рекомендаций Счетной палаты Кыргызской Республики;</w:t>
      </w:r>
    </w:p>
    <w:p>
      <w:pPr>
        <w:spacing w:after="120"/>
        <w:ind w:firstLine="397"/>
        <w:jc w:val="both"/>
      </w:pPr>
      <w:r>
        <w:rPr>
          <w:rFonts w:ascii="Arial" w:cs="Arial" w:eastAsia="Arial" w:hAnsi="Arial"/>
          <w:sz w:val="24"/>
          <w:szCs w:val="24"/>
        </w:rPr>
        <w:t xml:space="preserve">6) ежегодно, не позднее 15 числа месяца, следующего за отчетным периодом, представлять в Аппарат Правительства Кыргызской Республики информацию о принятых мерах по выполнению предписаний и рекомендаций Счетной палаты Кыргызской Республики.</w:t>
      </w:r>
    </w:p>
    <w:p>
      <w:pPr>
        <w:spacing w:after="120"/>
        <w:ind w:firstLine="397"/>
        <w:jc w:val="both"/>
      </w:pPr>
      <w:r>
        <w:rPr>
          <w:rFonts w:ascii="Arial" w:cs="Arial" w:eastAsia="Arial" w:hAnsi="Arial"/>
          <w:sz w:val="24"/>
          <w:szCs w:val="24"/>
        </w:rPr>
        <w:t xml:space="preserve">4. Контроль за исполнением настоящего постановления возложить на соответствующие структурные подразделения Аппарата Правительства Кыргызской Республики.</w:t>
      </w:r>
    </w:p>
    <w:p>
      <w:pPr>
        <w:spacing w:after="120"/>
        <w:ind w:firstLine="397"/>
        <w:jc w:val="both"/>
      </w:pPr>
      <w:r>
        <w:rPr>
          <w:rFonts w:ascii="Arial" w:cs="Arial" w:eastAsia="Arial" w:hAnsi="Arial"/>
          <w:sz w:val="24"/>
          <w:szCs w:val="24"/>
        </w:rPr>
        <w:t xml:space="preserve">5. Настоящее постановление вступает в силу по истечении семи дней со дня официального опубликования.</w:t>
      </w:r>
    </w:p>
    <w:p>
      <w:pPr>
        <w:spacing w:after="120"/>
        <w:ind w:firstLine="397"/>
        <w:jc w:val="both"/>
      </w:pPr>
      <w:r>
        <w:rPr>
          <w:rFonts w:ascii="Arial" w:cs="Arial" w:eastAsia="Arial" w:hAnsi="Arial"/>
          <w:i/>
          <w:iCs/>
          <w:sz w:val="24"/>
          <w:szCs w:val="24"/>
        </w:rPr>
        <w:t xml:space="preserve">Опубликован в газете "Эркин Тоо" от 5 января 2021 года № 1 (3180)</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Исполняющий обязанности</w:t>
      </w:r>
      <w:r>
        <w:rPr>
          <w:rFonts w:ascii="Arial" w:cs="Arial" w:eastAsia="Arial" w:hAnsi="Arial"/>
          <w:sz w:val="24"/>
          <w:szCs w:val="24"/>
        </w:rPr>
        <w:t xml:space="preserve">	</w:t>
      </w:r>
      <w:r>
        <w:rPr>
          <w:rFonts w:ascii="Arial" w:cs="Arial" w:eastAsia="Arial" w:hAnsi="Arial"/>
          <w:sz w:val="24"/>
          <w:szCs w:val="24"/>
        </w:rPr>
        <w:t xml:space="preserve">А.Э. Новиков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2"/>
          <w:szCs w:val="22"/>
        </w:rPr>
        <w:t xml:space="preserve">Приложение</w:t>
      </w:r>
    </w:p>
    <w:p>
      <w:pPr>
        <w:spacing w:after="400" w:before="400"/>
        <w:jc w:val="center"/>
      </w:pPr>
      <w:r>
        <w:rPr>
          <w:rFonts w:ascii="Arial" w:cs="Arial" w:eastAsia="Arial" w:hAnsi="Arial"/>
          <w:b/>
          <w:bCs/>
          <w:sz w:val="22"/>
          <w:szCs w:val="22"/>
        </w:rPr>
        <w:t xml:space="preserve">ПЛАН МЕРОПРИЯТИЙ
 по устранению нарушений и недостатков, указанных в отчете Счетной палаты Кыргызской Республики об аудите исполнения республиканского бюджета Кыргызской Республики за 2019 год</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50"/>
        <w:gridCol w:w="3041"/>
        <w:gridCol w:w="2980"/>
        <w:gridCol w:w="1449"/>
        <w:gridCol w:w="2257"/>
      </w:tblGrid>
      <w:tr>
        <w:tc>
          <w:tcPr>
            <w:tcW w:type="dxa" w:w="450"/>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w:t>
            </w:r>
          </w:p>
        </w:tc>
        <w:tc>
          <w:tcPr>
            <w:tcW w:type="dxa" w:w="304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Предложения Счетной палаты Кыргызской Республики, указанные в Отчете об аудите исполнения республиканского бюджета за 2019 год</w:t>
            </w:r>
          </w:p>
        </w:tc>
        <w:tc>
          <w:tcPr>
            <w:tcW w:type="dxa" w:w="298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Мероприятия</w:t>
            </w:r>
          </w:p>
        </w:tc>
        <w:tc>
          <w:tcPr>
            <w:tcW w:type="dxa" w:w="144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Сроки реализации</w:t>
            </w:r>
          </w:p>
        </w:tc>
        <w:tc>
          <w:tcPr>
            <w:tcW w:type="dxa" w:w="225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Ответственные государственные органы</w:t>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w:t>
            </w:r>
          </w:p>
        </w:tc>
        <w:tc>
          <w:tcPr>
            <w:tcW w:type="dxa" w:w="30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Обеспечить соблюдение статей 81 и 116 Бюджетного кодекса Кыргызской Республики, предусматривающих утверждение ПКР бюджетного календаря и структуры отчета об исполнении бюджета в формате приложений к закону о республиканском бюджете на финансовый год с целью их прозрачности и соответствия</w:t>
            </w:r>
          </w:p>
        </w:tc>
        <w:tc>
          <w:tcPr>
            <w:tcW w:type="dxa" w:w="29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Разработать и утвердить:</w:t>
            </w:r>
          </w:p>
          <w:p>
            <w:pPr>
              <w:jc w:val="left"/>
            </w:pPr>
            <w:r>
              <w:rPr>
                <w:rFonts w:ascii="Arial" w:cs="Arial" w:eastAsia="Arial" w:hAnsi="Arial"/>
                <w:sz w:val="22"/>
                <w:szCs w:val="22"/>
              </w:rPr>
              <w:t xml:space="preserve">- бюджетный календарь;</w:t>
            </w:r>
          </w:p>
          <w:p>
            <w:pPr>
              <w:jc w:val="left"/>
            </w:pPr>
            <w:r>
              <w:rPr>
                <w:rFonts w:ascii="Arial" w:cs="Arial" w:eastAsia="Arial" w:hAnsi="Arial"/>
                <w:sz w:val="22"/>
                <w:szCs w:val="22"/>
              </w:rPr>
              <w:t xml:space="preserve">- структуру отчета об исполнении бюджета в формате приложений к закону о республиканском бюджете на финансовый год</w:t>
            </w:r>
          </w:p>
        </w:tc>
        <w:tc>
          <w:tcPr>
            <w:tcW w:type="dxa" w:w="1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I квартал 2021 года</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МФ</w:t>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2</w:t>
            </w:r>
          </w:p>
        </w:tc>
        <w:tc>
          <w:tcPr>
            <w:tcW w:type="dxa" w:w="30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Обеспечить выполнение мероприятий, включенных в Среднесрочный план действий на 2020-2022 годы (II этап) по реализации Стратегии развития управления государственными финансами на 2017-2025 годы, с учетом проведенной оценки эффективности управления государственными финансами компанией DT Global IDEV Europe, S.L.</w:t>
            </w:r>
          </w:p>
        </w:tc>
        <w:tc>
          <w:tcPr>
            <w:tcW w:type="dxa" w:w="29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Обеспечить выполнение мероприятий, включенных в Среднесрочный план действий на 2020-2022 годы (II этап) по реализации Стратегии развития управления государственными финансами на 2017-2025 годы, с учетом проведенной оценки эффективности управления государственными финансами</w:t>
            </w:r>
          </w:p>
        </w:tc>
        <w:tc>
          <w:tcPr>
            <w:tcW w:type="dxa" w:w="1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В течение 2021-2025 годов</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МФ, министерства и ведомства</w:t>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3</w:t>
            </w:r>
          </w:p>
        </w:tc>
        <w:tc>
          <w:tcPr>
            <w:tcW w:type="dxa" w:w="30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Обеспечить автоматизацию системы расчетов и распределение средств, поступающих в фонды развития регионов</w:t>
            </w:r>
          </w:p>
        </w:tc>
        <w:tc>
          <w:tcPr>
            <w:tcW w:type="dxa" w:w="29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Автоматизировать систему расчетов и распределения средств, поступающих в фонды развития регионов</w:t>
            </w:r>
          </w:p>
        </w:tc>
        <w:tc>
          <w:tcPr>
            <w:tcW w:type="dxa" w:w="1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III квартал 2021 года</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МФ, ГКИТС</w:t>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4</w:t>
            </w:r>
          </w:p>
        </w:tc>
        <w:tc>
          <w:tcPr>
            <w:tcW w:type="dxa" w:w="30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Обеспечить контроль за реализацией министерствами и ведомствами утвержденных программных бюджетов и представление соответствующей отчетности о достижении индикаторов результативности</w:t>
            </w:r>
          </w:p>
        </w:tc>
        <w:tc>
          <w:tcPr>
            <w:tcW w:type="dxa" w:w="29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Обеспечить представление соответствующей отчетности о достижении индикаторов результативности по реализации утвержденных программных бюджетов</w:t>
            </w:r>
          </w:p>
        </w:tc>
        <w:tc>
          <w:tcPr>
            <w:tcW w:type="dxa" w:w="1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На постоянной основе</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МФ, министерства и ведомства</w:t>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5</w:t>
            </w:r>
          </w:p>
        </w:tc>
        <w:tc>
          <w:tcPr>
            <w:tcW w:type="dxa" w:w="30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Обеспечить выполнение мероприятий, установленных Стратегией управления госдолгом на 2018-2020 годы, уделяя особое внимание мерам по развитию положительной динамики эмиссии казначейских облигаций в общей структуре выпуска государственных ценных бумаг</w:t>
            </w:r>
          </w:p>
        </w:tc>
        <w:tc>
          <w:tcPr>
            <w:tcW w:type="dxa" w:w="29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Провести работу по очередному обновлению Среднесрочной стратегии управления государственным долгом Кыргызской Республики на последующий среднесрочный период</w:t>
            </w:r>
          </w:p>
        </w:tc>
        <w:tc>
          <w:tcPr>
            <w:tcW w:type="dxa" w:w="1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I</w:t>
            </w:r>
            <w:r>
              <w:rPr>
                <w:rFonts w:ascii="Arial" w:cs="Arial" w:eastAsia="Arial" w:hAnsi="Arial"/>
                <w:sz w:val="22"/>
                <w:szCs w:val="22"/>
              </w:rPr>
              <w:t xml:space="preserve"> квартал 2021 года</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МФ</w:t>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6</w:t>
            </w:r>
          </w:p>
        </w:tc>
        <w:tc>
          <w:tcPr>
            <w:tcW w:type="dxa" w:w="30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Обеспечить учет, формирование и отражение долговых обязательств республики в отчетности по госдолгу в соответствии с нормами Бюджетного кодекса Кыргызской Республики и международными стандартами</w:t>
            </w:r>
          </w:p>
        </w:tc>
        <w:tc>
          <w:tcPr>
            <w:tcW w:type="dxa" w:w="29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Разработать и утвердить методологию по финансовому учету, формированию и отражению долговых обязательств Кыргызской Республики в финансовой отчетности (бухгалтерский баланс) по госдолгу в соответствии с нормами Бюджетного кодекса Кыргызской Республики, нормативными правовыми актами Министерства финансов Кыргызской Республики и международными стандартами</w:t>
            </w:r>
          </w:p>
        </w:tc>
        <w:tc>
          <w:tcPr>
            <w:tcW w:type="dxa" w:w="1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IV квартал 2021 года</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МФ</w:t>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7</w:t>
            </w:r>
          </w:p>
        </w:tc>
        <w:tc>
          <w:tcPr>
            <w:tcW w:type="dxa" w:w="30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Обеспечить формирование и администрирование электронного каталога, предусмотренного постановлением ПКР от 30.05.2019 года № 243 "Об утверждении порядка проведения государственных закупок товаров, работ и услуг посредством электронного каталога" для проведения электронных закупок</w:t>
            </w:r>
          </w:p>
        </w:tc>
        <w:tc>
          <w:tcPr>
            <w:tcW w:type="dxa" w:w="29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Сформировать электронный каталог для проведения электронных закупок</w:t>
            </w:r>
          </w:p>
        </w:tc>
        <w:tc>
          <w:tcPr>
            <w:tcW w:type="dxa" w:w="1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На постоянной основе</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МФ</w:t>
            </w:r>
          </w:p>
        </w:tc>
      </w:tr>
      <w:tr>
        <w:tc>
          <w:tcPr>
            <w:tcW w:type="dxa" w:w="4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8</w:t>
            </w:r>
          </w:p>
        </w:tc>
        <w:tc>
          <w:tcPr>
            <w:tcW w:type="dxa" w:w="30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Принять меры по формированию базы данных при подготовке законопроекта по вносимым изменениям в республиканский бюджет на стадиях согласования с ПКР, рассмотрения в Жогорку Кенеше Кыргызской Республики в целях соблюдения прозрачности бюджетной информации на всех этапах их подготовки в соответствии с принципами бюджетной системы, предусмотренными Бюджетным кодексом Кыргызской Республики</w:t>
            </w:r>
          </w:p>
        </w:tc>
        <w:tc>
          <w:tcPr>
            <w:tcW w:type="dxa" w:w="29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Обеспечить формирование базы данных при подготовке законопроекта по вносимым изменениям в республиканский бюджет на стадиях согласования с ПКР, рассмотрения в Жогорку Кенеше Кыргызской Республики</w:t>
            </w:r>
          </w:p>
        </w:tc>
        <w:tc>
          <w:tcPr>
            <w:tcW w:type="dxa" w:w="1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I квартал 2021 года</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МФ, ГКИТС</w:t>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9</w:t>
            </w:r>
          </w:p>
        </w:tc>
        <w:tc>
          <w:tcPr>
            <w:tcW w:type="dxa" w:w="30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Принять меры по поступлению в доход республиканского бюджета платежей, недопоступивших в 2019 году от использования и управления госимуществом на 460,3 млн. сомов, дивидендов по открытому акционерному обществу "Бишкекский машиностроительный завод" на 11,5 млн. сомов, отчислений от чистой прибыли ГП "Национальная компания Кыргыз Темир Жолу" на 191,1 млн. сомов; задолженности открытого акционерного общества "РСК Банк" по дивидендам на 125,5 млн. сомов, задолженности частных юридических и физических лиц по арендной плате на 34,3 млн. сомов</w:t>
            </w:r>
          </w:p>
        </w:tc>
        <w:tc>
          <w:tcPr>
            <w:tcW w:type="dxa" w:w="29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Обеспечить поступления в доход республиканского бюджета:</w:t>
            </w:r>
          </w:p>
          <w:p>
            <w:pPr>
              <w:jc w:val="left"/>
            </w:pPr>
            <w:r>
              <w:rPr>
                <w:rFonts w:ascii="Arial" w:cs="Arial" w:eastAsia="Arial" w:hAnsi="Arial"/>
                <w:sz w:val="22"/>
                <w:szCs w:val="22"/>
              </w:rPr>
              <w:t xml:space="preserve">- от использования и управления госимуществом - 460,3 млн. сомов;</w:t>
            </w:r>
          </w:p>
          <w:p>
            <w:pPr>
              <w:jc w:val="left"/>
            </w:pPr>
            <w:r>
              <w:rPr>
                <w:rFonts w:ascii="Arial" w:cs="Arial" w:eastAsia="Arial" w:hAnsi="Arial"/>
                <w:sz w:val="22"/>
                <w:szCs w:val="22"/>
              </w:rPr>
              <w:t xml:space="preserve">- дивидендов по открытому акционерному обществу "Бишкекский машиностроительный завод" - 11,5 млн. сомов;</w:t>
            </w:r>
          </w:p>
          <w:p>
            <w:pPr>
              <w:jc w:val="left"/>
            </w:pPr>
            <w:r>
              <w:rPr>
                <w:rFonts w:ascii="Arial" w:cs="Arial" w:eastAsia="Arial" w:hAnsi="Arial"/>
                <w:sz w:val="22"/>
                <w:szCs w:val="22"/>
              </w:rPr>
              <w:t xml:space="preserve">- отчислений от чистой прибыли ГП "Национальная компания Кыргыз Темир Жолу" - 191,1 млн. сомов;</w:t>
            </w:r>
          </w:p>
          <w:p>
            <w:pPr>
              <w:jc w:val="left"/>
            </w:pPr>
            <w:r>
              <w:rPr>
                <w:rFonts w:ascii="Arial" w:cs="Arial" w:eastAsia="Arial" w:hAnsi="Arial"/>
                <w:sz w:val="22"/>
                <w:szCs w:val="22"/>
              </w:rPr>
              <w:t xml:space="preserve">- задолженности открытого акционерного общества "РСК Банк" по дивидендам - 125,5 млн. сомов;</w:t>
            </w:r>
          </w:p>
          <w:p>
            <w:pPr>
              <w:jc w:val="left"/>
            </w:pPr>
            <w:r>
              <w:rPr>
                <w:rFonts w:ascii="Arial" w:cs="Arial" w:eastAsia="Arial" w:hAnsi="Arial"/>
                <w:sz w:val="22"/>
                <w:szCs w:val="22"/>
              </w:rPr>
              <w:t xml:space="preserve">- задолженности частных юридических и физических лиц по арендной плате - 34,3 млн. сомов</w:t>
            </w:r>
          </w:p>
        </w:tc>
        <w:tc>
          <w:tcPr>
            <w:tcW w:type="dxa" w:w="1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I-II квартал 2021 года</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ФУГИ, МФ</w:t>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10</w:t>
            </w:r>
          </w:p>
        </w:tc>
        <w:tc>
          <w:tcPr>
            <w:tcW w:type="dxa" w:w="30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Принять меры по приведению в соответствие Инструкции о порядке регистрации контрактов и бюджетных обязательств учреждений, утвержденной постановлением ПКР от 18.10.2010 года № 248 "О порядке регистрации контрактов и бюджетных обязательств учреждений, состоящих на республиканском или местном бюджете Кыргызской Республики" статье 114 Бюджетного кодекса Кыргызской Республики</w:t>
            </w:r>
          </w:p>
        </w:tc>
        <w:tc>
          <w:tcPr>
            <w:tcW w:type="dxa" w:w="29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Инициировать проект постановления ПКР о признании утратившей силу инструкции "О порядке регистрации контрактов и бюджетных обязательств учреждений, состоящих на республиканском или местном бюджете Кыргызской Республики" от 18.10.2010 года № 248</w:t>
            </w:r>
          </w:p>
        </w:tc>
        <w:tc>
          <w:tcPr>
            <w:tcW w:type="dxa" w:w="1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I квартал 2021 года</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МФ</w:t>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11</w:t>
            </w:r>
          </w:p>
        </w:tc>
        <w:tc>
          <w:tcPr>
            <w:tcW w:type="dxa" w:w="30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Принять меры по приведению в соответствие штатной численности работников министерств и ведомств согласно постановлениям ПКР от 22.01.2011 года № 473, от 04.05.2017 года № 253, от 07.05.2018 года № 227</w:t>
            </w:r>
          </w:p>
        </w:tc>
        <w:tc>
          <w:tcPr>
            <w:tcW w:type="dxa" w:w="29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Провести инвентаризацию штатной численности работников министерств и ведомств согласно постановлениям ПКР от 22.01.2011 года № 473, от 04.05.2017 года № 253, от 07.05.2018 года № 227</w:t>
            </w:r>
          </w:p>
        </w:tc>
        <w:tc>
          <w:tcPr>
            <w:tcW w:type="dxa" w:w="1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II квартал 2021 года</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ГКС (по согласованию), МФ, министерства и ведомства</w:t>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12</w:t>
            </w:r>
          </w:p>
        </w:tc>
        <w:tc>
          <w:tcPr>
            <w:tcW w:type="dxa" w:w="30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Принять меры по проведению актов сверок территориальными управлениями Минфина по уточнению сумм, подлежащих зачислению в республиканский или местные бюджеты из сумм, числящихся на счетах казначейства "Суммы, незаконность изъятия которых установлена судебными органами" и "Суммы, не имеющие подтверждающих источников с 1996-1998 годов", а также невыясненным суммам на 280,7 млн. сомов, незаконность которых установлена судебными органами</w:t>
            </w:r>
          </w:p>
        </w:tc>
        <w:tc>
          <w:tcPr>
            <w:tcW w:type="dxa" w:w="29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Провести инвентаризацию сумм, числящихся на счетах казначейства "Суммы, незаконность изъятия которых установлена судебными органами" и "Суммы, не имеющие подтверждающих источников с 1996-1998 годов", а также невыясненным суммам на 280,7 млн. сомов, незаконность которых установлена судебными органами, и внести предложения по списанию в Счетную палату Кыргызской Республики</w:t>
            </w:r>
          </w:p>
        </w:tc>
        <w:tc>
          <w:tcPr>
            <w:tcW w:type="dxa" w:w="1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II</w:t>
            </w:r>
            <w:r>
              <w:rPr>
                <w:rFonts w:ascii="Arial" w:cs="Arial" w:eastAsia="Arial" w:hAnsi="Arial"/>
                <w:sz w:val="22"/>
                <w:szCs w:val="22"/>
              </w:rPr>
              <w:t xml:space="preserve"> квартал 2021 года</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МФ</w:t>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13</w:t>
            </w:r>
          </w:p>
        </w:tc>
        <w:tc>
          <w:tcPr>
            <w:tcW w:type="dxa" w:w="30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Принять меры по переводу депозитных забалансовых счетов в активы государства</w:t>
            </w:r>
          </w:p>
        </w:tc>
        <w:tc>
          <w:tcPr>
            <w:tcW w:type="dxa" w:w="29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Внести предложения по использованию средств, находящихся на забалансовых счетах</w:t>
            </w:r>
          </w:p>
        </w:tc>
        <w:tc>
          <w:tcPr>
            <w:tcW w:type="dxa" w:w="1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II</w:t>
            </w:r>
            <w:r>
              <w:rPr>
                <w:rFonts w:ascii="Arial" w:cs="Arial" w:eastAsia="Arial" w:hAnsi="Arial"/>
                <w:sz w:val="22"/>
                <w:szCs w:val="22"/>
              </w:rPr>
              <w:t xml:space="preserve"> квартал 2021 года</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МФ</w:t>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14</w:t>
            </w:r>
          </w:p>
        </w:tc>
        <w:tc>
          <w:tcPr>
            <w:tcW w:type="dxa" w:w="30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Принять меры по проведению сверки расчетов начисленных процентов на остатки средств, числящихся на забалансовых депозитных счетах ПКР в Национальном банке Кыргызской Республики, и по результатам взыскать в доход республиканского бюджета сумму процентов, которая расчетно на конец 2019 года составила 700,1 млн. сомов</w:t>
            </w:r>
          </w:p>
        </w:tc>
        <w:tc>
          <w:tcPr>
            <w:tcW w:type="dxa" w:w="29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 согласованию с Банком KfW перечислить суммы начисленных процентов, зачисленных на забалансовые счета в Национальном банке Кыргызской Республики (встречных фондах)</w:t>
            </w:r>
          </w:p>
        </w:tc>
        <w:tc>
          <w:tcPr>
            <w:tcW w:type="dxa" w:w="1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I квартал 2021 года</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МФ</w:t>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15</w:t>
            </w:r>
          </w:p>
        </w:tc>
        <w:tc>
          <w:tcPr>
            <w:tcW w:type="dxa" w:w="30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Принять меры по проведению сверки взаиморасчетов с внешними кредиторами с целью обеспечения достоверности государственного внешнего долга и по результатам внести соответствующие корректировки в базу данных по госдолгу</w:t>
            </w:r>
          </w:p>
        </w:tc>
        <w:tc>
          <w:tcPr>
            <w:tcW w:type="dxa" w:w="29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Провести мероприятия по установке нового программного обеспечения для ведения единой базы учета и контроля госдолга, отвечающего всем необходимым международным стандартам, а также сверку взаиморасчетов с внешними кредиторами с целью обеспечения достоверности государственного внешнего долга</w:t>
            </w:r>
          </w:p>
        </w:tc>
        <w:tc>
          <w:tcPr>
            <w:tcW w:type="dxa" w:w="1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I-II квартал 2021 года</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МФ</w:t>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16</w:t>
            </w:r>
          </w:p>
        </w:tc>
        <w:tc>
          <w:tcPr>
            <w:tcW w:type="dxa" w:w="30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Принять меры по проведению сверки движения средств по полученным официальным трансфертам в виде грантовой помощи Российской Федерации и по результатам внести соответствующие исправления в отчетность</w:t>
            </w:r>
          </w:p>
        </w:tc>
        <w:tc>
          <w:tcPr>
            <w:tcW w:type="dxa" w:w="29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Провести сверку по грантам, полученным от Российской Федерации</w:t>
            </w:r>
          </w:p>
        </w:tc>
        <w:tc>
          <w:tcPr>
            <w:tcW w:type="dxa" w:w="1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II квартал 2021 года</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МФ</w:t>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17</w:t>
            </w:r>
          </w:p>
        </w:tc>
        <w:tc>
          <w:tcPr>
            <w:tcW w:type="dxa" w:w="30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Осуществлять формирование проекта республиканского бюджета и внесение изменений в республиканский бюджет в соответствующем бюджетном году в строгом соответствии со статьей 89 Бюджетного кодекса Кыргызской Республики, предусматривающей сокращение прогнозных показателей республиканского бюджета не более 3 процентов от показателей на соответствующий год, предусмотренных в предыдущие циклы, и Порядком, утвержденным постановлением ПКР от 01.11.2017 года № 723 "О Порядке формирования проекта республиканского бюджета и внесения изменений в республиканский бюджет"</w:t>
            </w:r>
          </w:p>
        </w:tc>
        <w:tc>
          <w:tcPr>
            <w:tcW w:type="dxa" w:w="29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Обеспечить соблюдение Порядка формирования проекта республиканского бюджета и внесения изменений в республиканский бюджет, утвержденного постановлением ПКР от 01.11.2017 года № 723</w:t>
            </w:r>
          </w:p>
        </w:tc>
        <w:tc>
          <w:tcPr>
            <w:tcW w:type="dxa" w:w="1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На постоянной основе</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МФ</w:t>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18</w:t>
            </w:r>
          </w:p>
        </w:tc>
        <w:tc>
          <w:tcPr>
            <w:tcW w:type="dxa" w:w="30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Осуществлять формирование перечня строек и объектов для государственных нужд в соответствии с объемом средств, предусмотренных в статьях закона о республиканском бюджете на соответствующий бюджетный год</w:t>
            </w:r>
          </w:p>
        </w:tc>
        <w:tc>
          <w:tcPr>
            <w:tcW w:type="dxa" w:w="29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Внести изменения в Положение о формировании перечня инвестиционных проектов, реализуемых в форме капитальных вложений, финансируемых из республиканского бюджета, утвержденного постановлением ПКР от 30.12.2017 года № 855, в части кредиторской и дебиторской задолженностей</w:t>
            </w:r>
          </w:p>
        </w:tc>
        <w:tc>
          <w:tcPr>
            <w:tcW w:type="dxa" w:w="1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II квартал 2021 года</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МФ</w:t>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19</w:t>
            </w:r>
          </w:p>
        </w:tc>
        <w:tc>
          <w:tcPr>
            <w:tcW w:type="dxa" w:w="30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Осуществлять выделение целевых трансфертов строго в параметрах, утвержденных законом о республиканском бюджете, или по согласованию с профильным комитетом Жогорку Кенеша Кыргызской Республики, в ведение которого входят вопросы бюджетного законодательства (до принятия Закона о внесении изменений)</w:t>
            </w:r>
          </w:p>
        </w:tc>
        <w:tc>
          <w:tcPr>
            <w:tcW w:type="dxa" w:w="29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Разработать и утвердить решением ПКР Регламент по выделению целевых трансфертов в установленном порядке</w:t>
            </w:r>
          </w:p>
        </w:tc>
        <w:tc>
          <w:tcPr>
            <w:tcW w:type="dxa" w:w="1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IV квартал 2021 года</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МФ</w:t>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20</w:t>
            </w:r>
          </w:p>
        </w:tc>
        <w:tc>
          <w:tcPr>
            <w:tcW w:type="dxa" w:w="30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Осуществлять возврат неналоговых доходов из республиканского бюджета в строгом соответствии с п.1 ст.26 Кодекса Кыргызской Республики о неналоговых доходах</w:t>
            </w:r>
          </w:p>
        </w:tc>
        <w:tc>
          <w:tcPr>
            <w:tcW w:type="dxa" w:w="29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Обеспечить соблюдение требований Кодекса Кыргызской Республики о неналоговых доходах при учете государственных доходов</w:t>
            </w:r>
          </w:p>
        </w:tc>
        <w:tc>
          <w:tcPr>
            <w:tcW w:type="dxa" w:w="1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На постоянной основе</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МФ</w:t>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21</w:t>
            </w:r>
          </w:p>
        </w:tc>
        <w:tc>
          <w:tcPr>
            <w:tcW w:type="dxa" w:w="30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Разработать механизм финансирования расходов на развитие приграничных территорий и внести в установленном порядке соответствующие изменения в Порядок формирования проекта республиканского бюджета, утвержденный постановлением ПКР от 01.11.2017 года № 723 "О Порядке формирования проекта республиканского бюджета и внесения изменений в республиканский бюджет"</w:t>
            </w:r>
          </w:p>
        </w:tc>
        <w:tc>
          <w:tcPr>
            <w:tcW w:type="dxa" w:w="29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Внести в установленном порядке соответствующие изменения в Порядок формирования проекта республиканского бюджета, утвержденный постановлением ПКР от 01.11.2017 года № 723</w:t>
            </w:r>
          </w:p>
        </w:tc>
        <w:tc>
          <w:tcPr>
            <w:tcW w:type="dxa" w:w="1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I квартал 2021 года</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МФ</w:t>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22</w:t>
            </w:r>
          </w:p>
        </w:tc>
        <w:tc>
          <w:tcPr>
            <w:tcW w:type="dxa" w:w="30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Разработать нормативный акт, определяющий критерии выделения целевых трансфертов и методику определения их объемов для обеспечения справедливого расчета и единого подхода при выделении целевых трансфертов</w:t>
            </w:r>
          </w:p>
        </w:tc>
        <w:tc>
          <w:tcPr>
            <w:tcW w:type="dxa" w:w="29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Разработать нормативный акт, определяющий критерии выделения целевых трансфертов и методику определения их объемов для обеспечения справедливого расчета и единого подхода при выделении целевых трансфертов</w:t>
            </w:r>
          </w:p>
        </w:tc>
        <w:tc>
          <w:tcPr>
            <w:tcW w:type="dxa" w:w="1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IV квартал 2021 года</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МФ</w:t>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23</w:t>
            </w:r>
          </w:p>
        </w:tc>
        <w:tc>
          <w:tcPr>
            <w:tcW w:type="dxa" w:w="30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Разработать показатели оценки системы управления госдолгом в соответствии с международными нормами, а также методологическое обеспечение показателей долговой политики и ее мониторинга на основе стратегических приоритетов развития республики с целью повышения эффективности контроля за состоянием госдолга</w:t>
            </w:r>
          </w:p>
        </w:tc>
        <w:tc>
          <w:tcPr>
            <w:tcW w:type="dxa" w:w="29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Предусмотреть в обновленной Стратегии управления государственным долгом Кыргызской Республики показатели оценки системы управления госдолгом в соответствии с международными нормами</w:t>
            </w:r>
          </w:p>
        </w:tc>
        <w:tc>
          <w:tcPr>
            <w:tcW w:type="dxa" w:w="1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IV квартал 2021 года</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МФ</w:t>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24</w:t>
            </w:r>
          </w:p>
        </w:tc>
        <w:tc>
          <w:tcPr>
            <w:tcW w:type="dxa" w:w="30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Разработать методологические документы, закрепляющие понятия "программная помощь" и "проекты государственных инвестиций" с определением потоков кредитной и грантовой помощи в качестве трансфертов или внешних инвестиций</w:t>
            </w:r>
          </w:p>
        </w:tc>
        <w:tc>
          <w:tcPr>
            <w:tcW w:type="dxa" w:w="29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Разработать и утвердить нормативным актом понятия "программная помощь" и "проекты государственных инвестиций"</w:t>
            </w:r>
          </w:p>
        </w:tc>
        <w:tc>
          <w:tcPr>
            <w:tcW w:type="dxa" w:w="1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I квартал 2021 года</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МФ</w:t>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25</w:t>
            </w:r>
          </w:p>
        </w:tc>
        <w:tc>
          <w:tcPr>
            <w:tcW w:type="dxa" w:w="30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Разработать методические рекомендации по ведению бухгалтерского учета и формированию финансовой отчетности структурными подразделениями, обеспечивающие эффективный анализ и контроль данных, для консолидированного баланса МФ</w:t>
            </w:r>
          </w:p>
        </w:tc>
        <w:tc>
          <w:tcPr>
            <w:tcW w:type="dxa" w:w="29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Разработать и утвердить методические рекомендации по ведению бухгалтерского учета и формированию финансовой отчетности для структурных подразделений, с целью проведения эффективного анализа и контроля данных</w:t>
            </w:r>
          </w:p>
        </w:tc>
        <w:tc>
          <w:tcPr>
            <w:tcW w:type="dxa" w:w="1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I</w:t>
            </w:r>
            <w:r>
              <w:rPr>
                <w:rFonts w:ascii="Arial" w:cs="Arial" w:eastAsia="Arial" w:hAnsi="Arial"/>
                <w:sz w:val="22"/>
                <w:szCs w:val="22"/>
              </w:rPr>
              <w:t xml:space="preserve"> квартал 2021 года</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МФ</w:t>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26</w:t>
            </w:r>
          </w:p>
        </w:tc>
        <w:tc>
          <w:tcPr>
            <w:tcW w:type="dxa" w:w="30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Инициировать в ПКР рассмотрение вопроса по объему оборотной кассовой наличности, включаемого в статью закона о республиканском бюджете на очередной бюджетный год, исходя из расчетного месячного фонда оплаты труда согласно статье 110 Бюджетного кодекса Кыргызской Республики</w:t>
            </w:r>
          </w:p>
        </w:tc>
        <w:tc>
          <w:tcPr>
            <w:tcW w:type="dxa" w:w="29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Приказом МФ разработать и утвердить Методику расчета объема оборотной кассовой наличности</w:t>
            </w:r>
          </w:p>
        </w:tc>
        <w:tc>
          <w:tcPr>
            <w:tcW w:type="dxa" w:w="1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I</w:t>
            </w:r>
            <w:r>
              <w:rPr>
                <w:rFonts w:ascii="Arial" w:cs="Arial" w:eastAsia="Arial" w:hAnsi="Arial"/>
                <w:sz w:val="22"/>
                <w:szCs w:val="22"/>
              </w:rPr>
              <w:t xml:space="preserve"> квартал 2021 года</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МФ</w:t>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27</w:t>
            </w:r>
          </w:p>
        </w:tc>
        <w:tc>
          <w:tcPr>
            <w:tcW w:type="dxa" w:w="30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Предусматривать в обязательном порядке в Перечне строек и объектов на соответствующий бюджетный год погашение сумм кредиторской задолженности по завершенным объектам для окончательных расчетов с подрядными организациями</w:t>
            </w:r>
          </w:p>
        </w:tc>
        <w:tc>
          <w:tcPr>
            <w:tcW w:type="dxa" w:w="29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Внести изменения в Положение о формировании перечня инвестиционных проектов, реализуемых в форме капитальных вложений, финансируемых из республиканского бюджета, утвержденное постановлением ПКР от 30.12.2017 года № 855</w:t>
            </w:r>
          </w:p>
        </w:tc>
        <w:tc>
          <w:tcPr>
            <w:tcW w:type="dxa" w:w="1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I квартал 2021 года</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ГААСЖКХ</w:t>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28</w:t>
            </w:r>
          </w:p>
        </w:tc>
        <w:tc>
          <w:tcPr>
            <w:tcW w:type="dxa" w:w="30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Привести задолженность, отраженную в отчетности по внутреннему долгу, переводного векселя на сумму 34,3 млн. сомов, обязательств по индексации сбережений населения на 664,0 млн. сомов и дебиторской задолженности перед бюджетом на 92,4 млн. сомов в соответствие с нормами бюджетного законодательства, предусматривающими их обоснованность подтверждающими материалами</w:t>
            </w:r>
          </w:p>
        </w:tc>
        <w:tc>
          <w:tcPr>
            <w:tcW w:type="dxa" w:w="29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Провести выверку документов по задолженности, отраженной в отчетности по внутреннему долгу</w:t>
            </w:r>
          </w:p>
        </w:tc>
        <w:tc>
          <w:tcPr>
            <w:tcW w:type="dxa" w:w="1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II</w:t>
            </w:r>
            <w:r>
              <w:rPr>
                <w:rFonts w:ascii="Arial" w:cs="Arial" w:eastAsia="Arial" w:hAnsi="Arial"/>
                <w:sz w:val="22"/>
                <w:szCs w:val="22"/>
              </w:rPr>
              <w:t xml:space="preserve"> квартал 2021 года</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МФ</w:t>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29</w:t>
            </w:r>
          </w:p>
        </w:tc>
        <w:tc>
          <w:tcPr>
            <w:tcW w:type="dxa" w:w="30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Усилить администрирование по реализации проектов государственных инвестиций, не допуская потерь республиканского бюджета в виде комиссионных выплат за несвоевременное освоение средств, а также взимание дополнительных выплат</w:t>
            </w:r>
          </w:p>
        </w:tc>
        <w:tc>
          <w:tcPr>
            <w:tcW w:type="dxa" w:w="29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Внести предложения по повышению ответственности руководителей исполнительных агентств по проектам государственных инвестиций</w:t>
            </w:r>
          </w:p>
        </w:tc>
        <w:tc>
          <w:tcPr>
            <w:tcW w:type="dxa" w:w="1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III квартал 2021 года</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МФ, МЭ, МТД, ГАВР, ГААСЖКХ, ГКПЭН, мэрии городов (по согласованию)</w:t>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30</w:t>
            </w:r>
          </w:p>
        </w:tc>
        <w:tc>
          <w:tcPr>
            <w:tcW w:type="dxa" w:w="30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В соответствии со статьей 47 Бюджетного кодекса Кыргызском Республики взыскать в доход республиканского бюджета сборы по таможенному сопровождению транспортных средств, поступившие на счет специальных средств ГТС в сумме 238,3 млн. сомов</w:t>
            </w:r>
          </w:p>
        </w:tc>
        <w:tc>
          <w:tcPr>
            <w:tcW w:type="dxa" w:w="29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Перечислить в доходную часть республиканского бюджета 238,3 млн. сомов</w:t>
            </w:r>
          </w:p>
        </w:tc>
        <w:tc>
          <w:tcPr>
            <w:tcW w:type="dxa" w:w="1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I квартал 2021 года</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ГТС</w:t>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31</w:t>
            </w:r>
          </w:p>
        </w:tc>
        <w:tc>
          <w:tcPr>
            <w:tcW w:type="dxa" w:w="30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В соответствии со статьей 47 Бюджетного кодекса Кыргызской Республики взыскать в доход республиканского бюджета остаток процентов по средствам срочных депозитов программы KfW, размещенных на счетах в Национальном банке Кыргызской Республики, в сумме 17676,6 тыс. сомов</w:t>
            </w:r>
          </w:p>
        </w:tc>
        <w:tc>
          <w:tcPr>
            <w:tcW w:type="dxa" w:w="29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Согласовать с банком K</w:t>
            </w:r>
            <w:r>
              <w:rPr>
                <w:rFonts w:ascii="Arial" w:cs="Arial" w:eastAsia="Arial" w:hAnsi="Arial"/>
                <w:sz w:val="22"/>
                <w:szCs w:val="22"/>
              </w:rPr>
              <w:t xml:space="preserve">fW</w:t>
            </w:r>
            <w:r>
              <w:rPr>
                <w:rFonts w:ascii="Arial" w:cs="Arial" w:eastAsia="Arial" w:hAnsi="Arial"/>
                <w:sz w:val="22"/>
                <w:szCs w:val="22"/>
              </w:rPr>
              <w:t xml:space="preserve"> и перечислить в доходную часть республиканского бюджета начисленные проценты по средствам срочных депозитов в сумме 17676,6 тыс. сомов</w:t>
            </w:r>
          </w:p>
        </w:tc>
        <w:tc>
          <w:tcPr>
            <w:tcW w:type="dxa" w:w="1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II квартал 2021 года</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МФ</w:t>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32</w:t>
            </w:r>
          </w:p>
        </w:tc>
        <w:tc>
          <w:tcPr>
            <w:tcW w:type="dxa" w:w="30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В соответствии со статьей 47 Бюджетного кодекса Кыргызской Республики взыскать в доход республиканского бюджета проценты на остатки средств на специальных счетах проектов в коммерческих банках, составившие на 01.01.2020 года 13,6 млн. сомов, за вычетом расходов на оплату банковских услуг</w:t>
            </w:r>
          </w:p>
        </w:tc>
        <w:tc>
          <w:tcPr>
            <w:tcW w:type="dxa" w:w="29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Зачислить в доходную часть республиканского бюджета остатки средств на специальных счетах проектов в коммерческих банках, составившие на 01.01.2020 года 13,6 млн. сомов, за вычетом расходов на оплату банковских услуг</w:t>
            </w:r>
          </w:p>
        </w:tc>
        <w:tc>
          <w:tcPr>
            <w:tcW w:type="dxa" w:w="1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III квартал 2021 года</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МФ, министерства и ведомства</w:t>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33</w:t>
            </w:r>
          </w:p>
        </w:tc>
        <w:tc>
          <w:tcPr>
            <w:tcW w:type="dxa" w:w="30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Зачесть при финансировании (восстановить в бюджет) сметных назначений по статье "Заработная плата" превышение суммы дебиторской над кредиторской задолженностью по: Жогорку Кенеш Кыргызской Республики на 850,3 тыс. сомов; УДЖККР на 278,0 тыс. сомов; гараж УДЖККР на 93,3 тыс. сомов; УДППКР на 556,2 тыс. сомов; Нацстатком на 50,8 тыс. сомов; Госфиннадзор на 5,4 тыс. сомов, всего на 1834,0 тыс. сомов</w:t>
            </w:r>
          </w:p>
        </w:tc>
        <w:tc>
          <w:tcPr>
            <w:tcW w:type="dxa" w:w="29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Восстановить в бюджет превышение суммы дебиторской над кредиторской задолженностью по статье "Заработная плата":</w:t>
            </w:r>
          </w:p>
          <w:p>
            <w:pPr>
              <w:jc w:val="left"/>
            </w:pPr>
            <w:r>
              <w:rPr>
                <w:rFonts w:ascii="Arial" w:cs="Arial" w:eastAsia="Arial" w:hAnsi="Arial"/>
                <w:sz w:val="22"/>
                <w:szCs w:val="22"/>
              </w:rPr>
              <w:t xml:space="preserve">- Жогорку Кенеш Кыргызской Республики - 850,3 тыс. сомов;</w:t>
            </w:r>
          </w:p>
          <w:p>
            <w:pPr>
              <w:jc w:val="left"/>
            </w:pPr>
            <w:r>
              <w:rPr>
                <w:rFonts w:ascii="Arial" w:cs="Arial" w:eastAsia="Arial" w:hAnsi="Arial"/>
                <w:sz w:val="22"/>
                <w:szCs w:val="22"/>
              </w:rPr>
              <w:t xml:space="preserve">- УДЖККР - 278,0 тыс. сомов;</w:t>
            </w:r>
          </w:p>
          <w:p>
            <w:pPr>
              <w:jc w:val="left"/>
            </w:pPr>
            <w:r>
              <w:rPr>
                <w:rFonts w:ascii="Arial" w:cs="Arial" w:eastAsia="Arial" w:hAnsi="Arial"/>
                <w:sz w:val="22"/>
                <w:szCs w:val="22"/>
              </w:rPr>
              <w:t xml:space="preserve">- гараж УДЖККР - 93,3 тыс. сомов;</w:t>
            </w:r>
          </w:p>
          <w:p>
            <w:pPr>
              <w:jc w:val="left"/>
            </w:pPr>
            <w:r>
              <w:rPr>
                <w:rFonts w:ascii="Arial" w:cs="Arial" w:eastAsia="Arial" w:hAnsi="Arial"/>
                <w:sz w:val="22"/>
                <w:szCs w:val="22"/>
              </w:rPr>
              <w:t xml:space="preserve">- УДППКР - 556,2 тыс. сомов;</w:t>
            </w:r>
          </w:p>
          <w:p>
            <w:pPr>
              <w:jc w:val="left"/>
            </w:pPr>
            <w:r>
              <w:rPr>
                <w:rFonts w:ascii="Arial" w:cs="Arial" w:eastAsia="Arial" w:hAnsi="Arial"/>
                <w:sz w:val="22"/>
                <w:szCs w:val="22"/>
              </w:rPr>
              <w:t xml:space="preserve">- Нацстатком - 50,8 тыс. сомов;</w:t>
            </w:r>
          </w:p>
          <w:p>
            <w:pPr>
              <w:jc w:val="left"/>
            </w:pPr>
            <w:r>
              <w:rPr>
                <w:rFonts w:ascii="Arial" w:cs="Arial" w:eastAsia="Arial" w:hAnsi="Arial"/>
                <w:sz w:val="22"/>
                <w:szCs w:val="22"/>
              </w:rPr>
              <w:t xml:space="preserve">- Госфиннадзор - 5,4 тыс. сомов</w:t>
            </w:r>
          </w:p>
        </w:tc>
        <w:tc>
          <w:tcPr>
            <w:tcW w:type="dxa" w:w="1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I квартал 2021 года</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УДЖККР (по согласованию), УДППКР (по согласованию), Нацстатком (по согласованию), Госфиннадзор</w:t>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34</w:t>
            </w:r>
          </w:p>
        </w:tc>
        <w:tc>
          <w:tcPr>
            <w:tcW w:type="dxa" w:w="30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Зачесть при финансировании (восстановить в бюджет) остаток завышения объемов выполненных работ на объектах в регионах, финансируемых за счет стимулирующих (долевых) грантов из республиканского бюджета, на 1021,3 тыс. сомов</w:t>
            </w:r>
          </w:p>
        </w:tc>
        <w:tc>
          <w:tcPr>
            <w:tcW w:type="dxa" w:w="29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Восстановить в бюджет остаток завышения объемов выполненных работ на объектах в регионах, финансируемых за счет стимулирующих (долевых) грантов из республиканского бюджета, на 1021,3 тыс. сомов</w:t>
            </w:r>
          </w:p>
        </w:tc>
        <w:tc>
          <w:tcPr>
            <w:tcW w:type="dxa" w:w="1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I квартал 2021 года</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МФ</w:t>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35</w:t>
            </w:r>
          </w:p>
        </w:tc>
        <w:tc>
          <w:tcPr>
            <w:tcW w:type="dxa" w:w="30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Зачесть при финансировании (восстановить в бюджет) израсходованные в нарушение Положения о резервных фондах полномочных представителей ПКР в областях: из резервного фонда полномочного представителя ПКР в Баткенской области 72,6 тыс. сомов и полномочного представителя ПКР в Ошской области - 236,0 тыс. сомов</w:t>
            </w:r>
          </w:p>
        </w:tc>
        <w:tc>
          <w:tcPr>
            <w:tcW w:type="dxa" w:w="29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Восстановить в бюджет израсходованные суммы в нарушение Положения о резервных фондах полномочных представителей ПКР:</w:t>
            </w:r>
          </w:p>
          <w:p>
            <w:pPr>
              <w:jc w:val="left"/>
            </w:pPr>
            <w:r>
              <w:rPr>
                <w:rFonts w:ascii="Arial" w:cs="Arial" w:eastAsia="Arial" w:hAnsi="Arial"/>
                <w:sz w:val="22"/>
                <w:szCs w:val="22"/>
              </w:rPr>
              <w:t xml:space="preserve">- Баткенской области - 72,6 тыс. сомов;</w:t>
            </w:r>
          </w:p>
          <w:p>
            <w:pPr>
              <w:jc w:val="left"/>
            </w:pPr>
            <w:r>
              <w:rPr>
                <w:rFonts w:ascii="Arial" w:cs="Arial" w:eastAsia="Arial" w:hAnsi="Arial"/>
                <w:sz w:val="22"/>
                <w:szCs w:val="22"/>
              </w:rPr>
              <w:t xml:space="preserve">- Ошской области - 236,0 тыс. сомов</w:t>
            </w:r>
          </w:p>
        </w:tc>
        <w:tc>
          <w:tcPr>
            <w:tcW w:type="dxa" w:w="1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I квартал 2021 года</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МФ, полномочные представительства ПКР в Баткенской и Ошской областях</w:t>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36</w:t>
            </w:r>
          </w:p>
        </w:tc>
        <w:tc>
          <w:tcPr>
            <w:tcW w:type="dxa" w:w="30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Зачесть при финансировании (восстановить в бюджет) в соответствии с Инструкцией о порядке проведения зачета сверхнормативных запасов товарно-материальных ценностей и остатков средств в расчетах по годовым отчетам при финансировании бюджетных учреждений, превышение дебиторской задолженности над кредиторской задолженностью по подведомственным учреждениям МЗ на 6780,1 тыс. сомов; аппарату Полномочного представителя ПКР в Ошской области на 94,3 тыс. сомов; аппарату Полномочного представителя ПКР в Баткенской области - 34,5 тыс. сомов</w:t>
            </w:r>
          </w:p>
        </w:tc>
        <w:tc>
          <w:tcPr>
            <w:tcW w:type="dxa" w:w="29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Провести зачет сверхнормативных запасов товарно-материальных ценностей:</w:t>
            </w:r>
          </w:p>
          <w:p>
            <w:pPr>
              <w:jc w:val="left"/>
            </w:pPr>
            <w:r>
              <w:rPr>
                <w:rFonts w:ascii="Arial" w:cs="Arial" w:eastAsia="Arial" w:hAnsi="Arial"/>
                <w:sz w:val="22"/>
                <w:szCs w:val="22"/>
              </w:rPr>
              <w:t xml:space="preserve">- по подведомственным учреждениям МЗ - 6780,1 тыс. сомов;</w:t>
            </w:r>
          </w:p>
          <w:p>
            <w:pPr>
              <w:jc w:val="left"/>
            </w:pPr>
            <w:r>
              <w:rPr>
                <w:rFonts w:ascii="Arial" w:cs="Arial" w:eastAsia="Arial" w:hAnsi="Arial"/>
                <w:sz w:val="22"/>
                <w:szCs w:val="22"/>
              </w:rPr>
              <w:t xml:space="preserve">- по аппарату Полномочного представителя ПКР в Ошской области - 94,3 тыс. сомов;</w:t>
            </w:r>
          </w:p>
          <w:p>
            <w:pPr>
              <w:jc w:val="left"/>
            </w:pPr>
            <w:r>
              <w:rPr>
                <w:rFonts w:ascii="Arial" w:cs="Arial" w:eastAsia="Arial" w:hAnsi="Arial"/>
                <w:sz w:val="22"/>
                <w:szCs w:val="22"/>
              </w:rPr>
              <w:t xml:space="preserve">- по аппарату Полномочного представителя ПКР в Баткенской области - 34,5 тыс. сомов</w:t>
            </w:r>
          </w:p>
        </w:tc>
        <w:tc>
          <w:tcPr>
            <w:tcW w:type="dxa" w:w="1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I квартал 2021 года</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МФ, МЗ, полномочные представительства ПКР в Баткенской и Ошской областях</w:t>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37</w:t>
            </w:r>
          </w:p>
        </w:tc>
        <w:tc>
          <w:tcPr>
            <w:tcW w:type="dxa" w:w="30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Зачесть при финансировании (восстановить в бюджет) остатки средств в кассах министерств и ведомств на 01.01.2020 года в сумме 4541,2 тыс. сомов, в том числе: Жогорку Кенеш Кыргызской Республики - 332,1 тыс. сомов; АПКР - 2942,9 тыс. сомов; УДППКР - 1266,2 тыс. сомов</w:t>
            </w:r>
          </w:p>
        </w:tc>
        <w:tc>
          <w:tcPr>
            <w:tcW w:type="dxa" w:w="29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Уменьшить сметные назначения по:</w:t>
            </w:r>
          </w:p>
          <w:p>
            <w:pPr>
              <w:jc w:val="left"/>
            </w:pPr>
            <w:r>
              <w:rPr>
                <w:rFonts w:ascii="Arial" w:cs="Arial" w:eastAsia="Arial" w:hAnsi="Arial"/>
                <w:sz w:val="22"/>
                <w:szCs w:val="22"/>
              </w:rPr>
              <w:t xml:space="preserve">- Жогорку Кенешу Кыргызской Республики - 332,1 тыс. сомов;</w:t>
            </w:r>
          </w:p>
          <w:p>
            <w:pPr>
              <w:jc w:val="left"/>
            </w:pPr>
            <w:r>
              <w:rPr>
                <w:rFonts w:ascii="Arial" w:cs="Arial" w:eastAsia="Arial" w:hAnsi="Arial"/>
                <w:sz w:val="22"/>
                <w:szCs w:val="22"/>
              </w:rPr>
              <w:t xml:space="preserve">- АПКР - 2942,9 тыс. сомов;</w:t>
            </w:r>
          </w:p>
          <w:p>
            <w:pPr>
              <w:jc w:val="left"/>
            </w:pPr>
            <w:r>
              <w:rPr>
                <w:rFonts w:ascii="Arial" w:cs="Arial" w:eastAsia="Arial" w:hAnsi="Arial"/>
                <w:sz w:val="22"/>
                <w:szCs w:val="22"/>
              </w:rPr>
              <w:t xml:space="preserve">- УДППКР - 1266.2 тыс. сомов</w:t>
            </w:r>
          </w:p>
        </w:tc>
        <w:tc>
          <w:tcPr>
            <w:tcW w:type="dxa" w:w="1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I квартал 2021 года</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МФ, УДЖККР (по согласованию), УДППКР (по согласованию)</w:t>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38</w:t>
            </w:r>
          </w:p>
        </w:tc>
        <w:tc>
          <w:tcPr>
            <w:tcW w:type="dxa" w:w="30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Зачесть при финансировании (восстановить в бюджет) остаток средств, профинансированных из республиканского бюджета на выплату денежного пособия "Балага суйунчу", составивших на 01.01.2020 года 13,0 млн. сомов</w:t>
            </w:r>
          </w:p>
        </w:tc>
        <w:tc>
          <w:tcPr>
            <w:tcW w:type="dxa" w:w="29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Уменьшить сметные назначения по бюджету МТСР на 13,0 млн. сомов</w:t>
            </w:r>
          </w:p>
        </w:tc>
        <w:tc>
          <w:tcPr>
            <w:tcW w:type="dxa" w:w="1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I</w:t>
            </w:r>
            <w:r>
              <w:rPr>
                <w:rFonts w:ascii="Arial" w:cs="Arial" w:eastAsia="Arial" w:hAnsi="Arial"/>
                <w:sz w:val="22"/>
                <w:szCs w:val="22"/>
              </w:rPr>
              <w:t xml:space="preserve"> квартал 2021 года</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МФ, МТСР</w:t>
            </w:r>
          </w:p>
        </w:tc>
      </w:tr>
    </w:tbl>
    <w:p>
      <w:pPr>
        <w:spacing w:after="200" w:before="200"/>
        <w:jc w:val="center"/>
      </w:pPr>
      <w:r>
        <w:rPr>
          <w:rFonts w:ascii="Arial" w:cs="Arial" w:eastAsia="Arial" w:hAnsi="Arial"/>
          <w:b/>
          <w:bCs/>
          <w:sz w:val="22"/>
          <w:szCs w:val="22"/>
        </w:rPr>
        <w:t xml:space="preserve">Список сокращений:</w:t>
      </w:r>
    </w:p>
    <w:p>
      <w:pPr>
        <w:tabs>
          <w:tab w:val="right" w:pos="10178"/>
        </w:tabs>
        <w:spacing w:after="120"/>
      </w:pPr>
      <w:r>
        <w:rPr>
          <w:rFonts w:ascii="Arial" w:cs="Arial" w:eastAsia="Arial" w:hAnsi="Arial"/>
          <w:b/>
          <w:bCs/>
          <w:sz w:val="22"/>
          <w:szCs w:val="22"/>
        </w:rPr>
        <w:t xml:space="preserve">ГКС</w:t>
      </w:r>
      <w:r>
        <w:rPr>
          <w:rFonts w:ascii="Arial" w:cs="Arial" w:eastAsia="Arial" w:hAnsi="Arial"/>
          <w:sz w:val="24"/>
          <w:szCs w:val="24"/>
        </w:rPr>
        <w:t xml:space="preserve">	</w:t>
      </w:r>
      <w:r>
        <w:rPr>
          <w:rFonts w:ascii="Arial" w:cs="Arial" w:eastAsia="Arial" w:hAnsi="Arial"/>
          <w:sz w:val="22"/>
          <w:szCs w:val="22"/>
        </w:rPr>
        <w:t xml:space="preserve">Государственная кадровая служба Кыргызской Республики;</w:t>
      </w:r>
    </w:p>
    <w:p>
      <w:pPr>
        <w:tabs>
          <w:tab w:val="right" w:pos="10178"/>
        </w:tabs>
        <w:spacing w:after="120"/>
      </w:pPr>
      <w:r>
        <w:rPr>
          <w:rFonts w:ascii="Arial" w:cs="Arial" w:eastAsia="Arial" w:hAnsi="Arial"/>
          <w:b/>
          <w:bCs/>
          <w:sz w:val="22"/>
          <w:szCs w:val="22"/>
        </w:rPr>
        <w:t xml:space="preserve">ПКР</w:t>
      </w:r>
      <w:r>
        <w:rPr>
          <w:rFonts w:ascii="Arial" w:cs="Arial" w:eastAsia="Arial" w:hAnsi="Arial"/>
          <w:sz w:val="24"/>
          <w:szCs w:val="24"/>
        </w:rPr>
        <w:t xml:space="preserve">	</w:t>
      </w:r>
      <w:r>
        <w:rPr>
          <w:rFonts w:ascii="Arial" w:cs="Arial" w:eastAsia="Arial" w:hAnsi="Arial"/>
          <w:sz w:val="22"/>
          <w:szCs w:val="22"/>
        </w:rPr>
        <w:t xml:space="preserve">Правительство Кыргызской Республики;</w:t>
      </w:r>
    </w:p>
    <w:p>
      <w:pPr>
        <w:tabs>
          <w:tab w:val="right" w:pos="10178"/>
        </w:tabs>
        <w:spacing w:after="120"/>
      </w:pPr>
      <w:r>
        <w:rPr>
          <w:rFonts w:ascii="Arial" w:cs="Arial" w:eastAsia="Arial" w:hAnsi="Arial"/>
          <w:b/>
          <w:bCs/>
          <w:sz w:val="22"/>
          <w:szCs w:val="22"/>
        </w:rPr>
        <w:t xml:space="preserve">АПКР</w:t>
      </w:r>
      <w:r>
        <w:rPr>
          <w:rFonts w:ascii="Arial" w:cs="Arial" w:eastAsia="Arial" w:hAnsi="Arial"/>
          <w:sz w:val="24"/>
          <w:szCs w:val="24"/>
        </w:rPr>
        <w:t xml:space="preserve">	</w:t>
      </w:r>
      <w:r>
        <w:rPr>
          <w:rFonts w:ascii="Arial" w:cs="Arial" w:eastAsia="Arial" w:hAnsi="Arial"/>
          <w:sz w:val="22"/>
          <w:szCs w:val="22"/>
        </w:rPr>
        <w:t xml:space="preserve">Аппарат Правительства Кыргызской Республики;</w:t>
      </w:r>
    </w:p>
    <w:p>
      <w:pPr>
        <w:tabs>
          <w:tab w:val="right" w:pos="10178"/>
        </w:tabs>
        <w:spacing w:after="120"/>
      </w:pPr>
      <w:r>
        <w:rPr>
          <w:rFonts w:ascii="Arial" w:cs="Arial" w:eastAsia="Arial" w:hAnsi="Arial"/>
          <w:b/>
          <w:bCs/>
          <w:sz w:val="22"/>
          <w:szCs w:val="22"/>
        </w:rPr>
        <w:t xml:space="preserve">УДЖККР</w:t>
      </w:r>
      <w:r>
        <w:rPr>
          <w:rFonts w:ascii="Arial" w:cs="Arial" w:eastAsia="Arial" w:hAnsi="Arial"/>
          <w:sz w:val="24"/>
          <w:szCs w:val="24"/>
        </w:rPr>
        <w:t xml:space="preserve">	</w:t>
      </w:r>
      <w:r>
        <w:rPr>
          <w:rFonts w:ascii="Arial" w:cs="Arial" w:eastAsia="Arial" w:hAnsi="Arial"/>
          <w:sz w:val="22"/>
          <w:szCs w:val="22"/>
        </w:rPr>
        <w:t xml:space="preserve">Управление делами Жогорку Кенеша Кыргызской Республики;</w:t>
      </w:r>
    </w:p>
    <w:p>
      <w:pPr>
        <w:tabs>
          <w:tab w:val="right" w:pos="10178"/>
        </w:tabs>
        <w:spacing w:after="120"/>
      </w:pPr>
      <w:r>
        <w:rPr>
          <w:rFonts w:ascii="Arial" w:cs="Arial" w:eastAsia="Arial" w:hAnsi="Arial"/>
          <w:b/>
          <w:bCs/>
          <w:sz w:val="22"/>
          <w:szCs w:val="22"/>
        </w:rPr>
        <w:t xml:space="preserve">УДППКР</w:t>
      </w:r>
      <w:r>
        <w:rPr>
          <w:rFonts w:ascii="Arial" w:cs="Arial" w:eastAsia="Arial" w:hAnsi="Arial"/>
          <w:sz w:val="24"/>
          <w:szCs w:val="24"/>
        </w:rPr>
        <w:t xml:space="preserve">	</w:t>
      </w:r>
      <w:r>
        <w:rPr>
          <w:rFonts w:ascii="Arial" w:cs="Arial" w:eastAsia="Arial" w:hAnsi="Arial"/>
          <w:sz w:val="22"/>
          <w:szCs w:val="22"/>
        </w:rPr>
        <w:t xml:space="preserve">Управление делами Президента и Правительства Кыргызской Республики;</w:t>
      </w:r>
    </w:p>
    <w:p>
      <w:pPr>
        <w:tabs>
          <w:tab w:val="right" w:pos="10178"/>
        </w:tabs>
        <w:spacing w:after="120"/>
      </w:pPr>
      <w:r>
        <w:rPr>
          <w:rFonts w:ascii="Arial" w:cs="Arial" w:eastAsia="Arial" w:hAnsi="Arial"/>
          <w:b/>
          <w:bCs/>
          <w:sz w:val="22"/>
          <w:szCs w:val="22"/>
        </w:rPr>
        <w:t xml:space="preserve">МЭ</w:t>
      </w:r>
      <w:r>
        <w:rPr>
          <w:rFonts w:ascii="Arial" w:cs="Arial" w:eastAsia="Arial" w:hAnsi="Arial"/>
          <w:sz w:val="24"/>
          <w:szCs w:val="24"/>
        </w:rPr>
        <w:t xml:space="preserve">	</w:t>
      </w:r>
      <w:r>
        <w:rPr>
          <w:rFonts w:ascii="Arial" w:cs="Arial" w:eastAsia="Arial" w:hAnsi="Arial"/>
          <w:sz w:val="22"/>
          <w:szCs w:val="22"/>
        </w:rPr>
        <w:t xml:space="preserve">Министерство экономики Кыргызской Республики;</w:t>
      </w:r>
    </w:p>
    <w:p>
      <w:pPr>
        <w:tabs>
          <w:tab w:val="right" w:pos="10178"/>
        </w:tabs>
        <w:spacing w:after="120"/>
      </w:pPr>
      <w:r>
        <w:rPr>
          <w:rFonts w:ascii="Arial" w:cs="Arial" w:eastAsia="Arial" w:hAnsi="Arial"/>
          <w:b/>
          <w:bCs/>
          <w:sz w:val="22"/>
          <w:szCs w:val="22"/>
        </w:rPr>
        <w:t xml:space="preserve">МФ</w:t>
      </w:r>
      <w:r>
        <w:rPr>
          <w:rFonts w:ascii="Arial" w:cs="Arial" w:eastAsia="Arial" w:hAnsi="Arial"/>
          <w:sz w:val="24"/>
          <w:szCs w:val="24"/>
        </w:rPr>
        <w:t xml:space="preserve">	</w:t>
      </w:r>
      <w:r>
        <w:rPr>
          <w:rFonts w:ascii="Arial" w:cs="Arial" w:eastAsia="Arial" w:hAnsi="Arial"/>
          <w:sz w:val="22"/>
          <w:szCs w:val="22"/>
        </w:rPr>
        <w:t xml:space="preserve">Министерство финансов Кыргызской Республики;</w:t>
      </w:r>
    </w:p>
    <w:p>
      <w:pPr>
        <w:tabs>
          <w:tab w:val="right" w:pos="10178"/>
        </w:tabs>
        <w:spacing w:after="120"/>
      </w:pPr>
      <w:r>
        <w:rPr>
          <w:rFonts w:ascii="Arial" w:cs="Arial" w:eastAsia="Arial" w:hAnsi="Arial"/>
          <w:b/>
          <w:bCs/>
          <w:sz w:val="22"/>
          <w:szCs w:val="22"/>
        </w:rPr>
        <w:t xml:space="preserve">МЗ</w:t>
      </w:r>
      <w:r>
        <w:rPr>
          <w:rFonts w:ascii="Arial" w:cs="Arial" w:eastAsia="Arial" w:hAnsi="Arial"/>
          <w:sz w:val="24"/>
          <w:szCs w:val="24"/>
        </w:rPr>
        <w:t xml:space="preserve">	</w:t>
      </w:r>
      <w:r>
        <w:rPr>
          <w:rFonts w:ascii="Arial" w:cs="Arial" w:eastAsia="Arial" w:hAnsi="Arial"/>
          <w:sz w:val="22"/>
          <w:szCs w:val="22"/>
        </w:rPr>
        <w:t xml:space="preserve">Министерство здравоохранения Кыргызской Республики;</w:t>
      </w:r>
    </w:p>
    <w:p>
      <w:pPr>
        <w:tabs>
          <w:tab w:val="right" w:pos="10178"/>
        </w:tabs>
        <w:spacing w:after="120"/>
      </w:pPr>
      <w:r>
        <w:rPr>
          <w:rFonts w:ascii="Arial" w:cs="Arial" w:eastAsia="Arial" w:hAnsi="Arial"/>
          <w:b/>
          <w:bCs/>
          <w:sz w:val="22"/>
          <w:szCs w:val="22"/>
        </w:rPr>
        <w:t xml:space="preserve">МТД</w:t>
      </w:r>
      <w:r>
        <w:rPr>
          <w:rFonts w:ascii="Arial" w:cs="Arial" w:eastAsia="Arial" w:hAnsi="Arial"/>
          <w:sz w:val="24"/>
          <w:szCs w:val="24"/>
        </w:rPr>
        <w:t xml:space="preserve">	</w:t>
      </w:r>
      <w:r>
        <w:rPr>
          <w:rFonts w:ascii="Arial" w:cs="Arial" w:eastAsia="Arial" w:hAnsi="Arial"/>
          <w:sz w:val="22"/>
          <w:szCs w:val="22"/>
        </w:rPr>
        <w:t xml:space="preserve">Министерство транспорта и дорог Кыргызской Республики;</w:t>
      </w:r>
    </w:p>
    <w:p>
      <w:pPr>
        <w:tabs>
          <w:tab w:val="right" w:pos="10178"/>
        </w:tabs>
        <w:spacing w:after="120"/>
      </w:pPr>
      <w:r>
        <w:rPr>
          <w:rFonts w:ascii="Arial" w:cs="Arial" w:eastAsia="Arial" w:hAnsi="Arial"/>
          <w:b/>
          <w:bCs/>
          <w:sz w:val="22"/>
          <w:szCs w:val="22"/>
        </w:rPr>
        <w:t xml:space="preserve">МТСР</w:t>
      </w:r>
      <w:r>
        <w:rPr>
          <w:rFonts w:ascii="Arial" w:cs="Arial" w:eastAsia="Arial" w:hAnsi="Arial"/>
          <w:sz w:val="24"/>
          <w:szCs w:val="24"/>
        </w:rPr>
        <w:t xml:space="preserve">	</w:t>
      </w:r>
      <w:r>
        <w:rPr>
          <w:rFonts w:ascii="Arial" w:cs="Arial" w:eastAsia="Arial" w:hAnsi="Arial"/>
          <w:sz w:val="22"/>
          <w:szCs w:val="22"/>
        </w:rPr>
        <w:t xml:space="preserve">Министерства труда и социального развития Кыргызской Республики;</w:t>
      </w:r>
    </w:p>
    <w:p>
      <w:pPr>
        <w:tabs>
          <w:tab w:val="right" w:pos="10178"/>
        </w:tabs>
        <w:spacing w:after="120"/>
      </w:pPr>
      <w:r>
        <w:rPr>
          <w:rFonts w:ascii="Arial" w:cs="Arial" w:eastAsia="Arial" w:hAnsi="Arial"/>
          <w:b/>
          <w:bCs/>
          <w:sz w:val="22"/>
          <w:szCs w:val="22"/>
        </w:rPr>
        <w:t xml:space="preserve">ГКПЭН</w:t>
      </w:r>
      <w:r>
        <w:rPr>
          <w:rFonts w:ascii="Arial" w:cs="Arial" w:eastAsia="Arial" w:hAnsi="Arial"/>
          <w:sz w:val="24"/>
          <w:szCs w:val="24"/>
        </w:rPr>
        <w:t xml:space="preserve">	</w:t>
      </w:r>
      <w:r>
        <w:rPr>
          <w:rFonts w:ascii="Arial" w:cs="Arial" w:eastAsia="Arial" w:hAnsi="Arial"/>
          <w:sz w:val="22"/>
          <w:szCs w:val="22"/>
        </w:rPr>
        <w:t xml:space="preserve">Государственный комитет промышленности, энергетики и недропользования при Правительстве Кыргызской Республики;</w:t>
      </w:r>
    </w:p>
    <w:p>
      <w:pPr>
        <w:tabs>
          <w:tab w:val="right" w:pos="10178"/>
        </w:tabs>
        <w:spacing w:after="120"/>
      </w:pPr>
      <w:r>
        <w:rPr>
          <w:rFonts w:ascii="Arial" w:cs="Arial" w:eastAsia="Arial" w:hAnsi="Arial"/>
          <w:b/>
          <w:bCs/>
          <w:sz w:val="22"/>
          <w:szCs w:val="22"/>
        </w:rPr>
        <w:t xml:space="preserve">ГКИТС</w:t>
      </w:r>
      <w:r>
        <w:rPr>
          <w:rFonts w:ascii="Arial" w:cs="Arial" w:eastAsia="Arial" w:hAnsi="Arial"/>
          <w:sz w:val="24"/>
          <w:szCs w:val="24"/>
        </w:rPr>
        <w:t xml:space="preserve">	</w:t>
      </w:r>
      <w:r>
        <w:rPr>
          <w:rFonts w:ascii="Arial" w:cs="Arial" w:eastAsia="Arial" w:hAnsi="Arial"/>
          <w:sz w:val="22"/>
          <w:szCs w:val="22"/>
        </w:rPr>
        <w:t xml:space="preserve">Государственный комитет информационных технологий и связи Кыргызской Республики;</w:t>
      </w:r>
    </w:p>
    <w:p>
      <w:pPr>
        <w:tabs>
          <w:tab w:val="right" w:pos="10178"/>
        </w:tabs>
        <w:spacing w:after="120"/>
      </w:pPr>
      <w:r>
        <w:rPr>
          <w:rFonts w:ascii="Arial" w:cs="Arial" w:eastAsia="Arial" w:hAnsi="Arial"/>
          <w:b/>
          <w:bCs/>
          <w:sz w:val="22"/>
          <w:szCs w:val="22"/>
        </w:rPr>
        <w:t xml:space="preserve">ГААСЖКХ</w:t>
      </w:r>
      <w:r>
        <w:rPr>
          <w:rFonts w:ascii="Arial" w:cs="Arial" w:eastAsia="Arial" w:hAnsi="Arial"/>
          <w:sz w:val="24"/>
          <w:szCs w:val="24"/>
        </w:rPr>
        <w:t xml:space="preserve">	</w:t>
      </w:r>
      <w:r>
        <w:rPr>
          <w:rFonts w:ascii="Arial" w:cs="Arial" w:eastAsia="Arial" w:hAnsi="Arial"/>
          <w:sz w:val="22"/>
          <w:szCs w:val="22"/>
        </w:rPr>
        <w:t xml:space="preserve">Государственное агентство архитектуры, строительства и жилищно-коммунального хозяйства при Правительстве Кыргызской Республики;</w:t>
      </w:r>
    </w:p>
    <w:p>
      <w:pPr>
        <w:tabs>
          <w:tab w:val="right" w:pos="10178"/>
        </w:tabs>
        <w:spacing w:after="120"/>
      </w:pPr>
      <w:r>
        <w:rPr>
          <w:rFonts w:ascii="Arial" w:cs="Arial" w:eastAsia="Arial" w:hAnsi="Arial"/>
          <w:b/>
          <w:bCs/>
          <w:sz w:val="22"/>
          <w:szCs w:val="22"/>
        </w:rPr>
        <w:t xml:space="preserve">Госфиннадзор</w:t>
      </w:r>
      <w:r>
        <w:rPr>
          <w:rFonts w:ascii="Arial" w:cs="Arial" w:eastAsia="Arial" w:hAnsi="Arial"/>
          <w:sz w:val="24"/>
          <w:szCs w:val="24"/>
        </w:rPr>
        <w:t xml:space="preserve">	</w:t>
      </w:r>
      <w:r>
        <w:rPr>
          <w:rFonts w:ascii="Arial" w:cs="Arial" w:eastAsia="Arial" w:hAnsi="Arial"/>
          <w:sz w:val="22"/>
          <w:szCs w:val="22"/>
        </w:rPr>
        <w:t xml:space="preserve">Государственная служба регулирования и надзора за финансовым рынком при Правительстве Кыргызской Республики;</w:t>
      </w:r>
    </w:p>
    <w:p>
      <w:pPr>
        <w:tabs>
          <w:tab w:val="right" w:pos="10178"/>
        </w:tabs>
        <w:spacing w:after="120"/>
      </w:pPr>
      <w:r>
        <w:rPr>
          <w:rFonts w:ascii="Arial" w:cs="Arial" w:eastAsia="Arial" w:hAnsi="Arial"/>
          <w:b/>
          <w:bCs/>
          <w:sz w:val="22"/>
          <w:szCs w:val="22"/>
        </w:rPr>
        <w:t xml:space="preserve">ГТС</w:t>
      </w:r>
      <w:r>
        <w:rPr>
          <w:rFonts w:ascii="Arial" w:cs="Arial" w:eastAsia="Arial" w:hAnsi="Arial"/>
          <w:sz w:val="24"/>
          <w:szCs w:val="24"/>
        </w:rPr>
        <w:t xml:space="preserve">	</w:t>
      </w:r>
      <w:r>
        <w:rPr>
          <w:rFonts w:ascii="Arial" w:cs="Arial" w:eastAsia="Arial" w:hAnsi="Arial"/>
          <w:sz w:val="22"/>
          <w:szCs w:val="22"/>
        </w:rPr>
        <w:t xml:space="preserve">Государственная таможенная служба при Правительстве Кыргызской Республики;</w:t>
      </w:r>
    </w:p>
    <w:p>
      <w:pPr>
        <w:tabs>
          <w:tab w:val="right" w:pos="10178"/>
        </w:tabs>
        <w:spacing w:after="120"/>
      </w:pPr>
      <w:r>
        <w:rPr>
          <w:rFonts w:ascii="Arial" w:cs="Arial" w:eastAsia="Arial" w:hAnsi="Arial"/>
          <w:b/>
          <w:bCs/>
          <w:sz w:val="22"/>
          <w:szCs w:val="22"/>
        </w:rPr>
        <w:t xml:space="preserve">ГАВР</w:t>
      </w:r>
      <w:r>
        <w:rPr>
          <w:rFonts w:ascii="Arial" w:cs="Arial" w:eastAsia="Arial" w:hAnsi="Arial"/>
          <w:sz w:val="24"/>
          <w:szCs w:val="24"/>
        </w:rPr>
        <w:t xml:space="preserve">	</w:t>
      </w:r>
      <w:r>
        <w:rPr>
          <w:rFonts w:ascii="Arial" w:cs="Arial" w:eastAsia="Arial" w:hAnsi="Arial"/>
          <w:sz w:val="22"/>
          <w:szCs w:val="22"/>
        </w:rPr>
        <w:t xml:space="preserve">Государственное агентство водных ресурсов при Правительстве Кыргызской Республики;</w:t>
      </w:r>
    </w:p>
    <w:p>
      <w:pPr>
        <w:tabs>
          <w:tab w:val="right" w:pos="10178"/>
        </w:tabs>
        <w:spacing w:after="120"/>
      </w:pPr>
      <w:r>
        <w:rPr>
          <w:rFonts w:ascii="Arial" w:cs="Arial" w:eastAsia="Arial" w:hAnsi="Arial"/>
          <w:b/>
          <w:bCs/>
          <w:sz w:val="22"/>
          <w:szCs w:val="22"/>
        </w:rPr>
        <w:t xml:space="preserve">ФУГИ</w:t>
      </w:r>
      <w:r>
        <w:rPr>
          <w:rFonts w:ascii="Arial" w:cs="Arial" w:eastAsia="Arial" w:hAnsi="Arial"/>
          <w:sz w:val="24"/>
          <w:szCs w:val="24"/>
        </w:rPr>
        <w:t xml:space="preserve">	</w:t>
      </w:r>
      <w:r>
        <w:rPr>
          <w:rFonts w:ascii="Arial" w:cs="Arial" w:eastAsia="Arial" w:hAnsi="Arial"/>
          <w:sz w:val="22"/>
          <w:szCs w:val="22"/>
        </w:rPr>
        <w:t xml:space="preserve">Фонд по управлению государственным имуществом при Правительстве Кыргызской Республики;</w:t>
      </w:r>
    </w:p>
    <w:p>
      <w:pPr>
        <w:tabs>
          <w:tab w:val="right" w:pos="10178"/>
        </w:tabs>
        <w:spacing w:after="120"/>
      </w:pPr>
      <w:r>
        <w:rPr>
          <w:rFonts w:ascii="Arial" w:cs="Arial" w:eastAsia="Arial" w:hAnsi="Arial"/>
          <w:b/>
          <w:bCs/>
          <w:sz w:val="22"/>
          <w:szCs w:val="22"/>
        </w:rPr>
        <w:t xml:space="preserve">Нацстатком</w:t>
      </w:r>
      <w:r>
        <w:rPr>
          <w:rFonts w:ascii="Arial" w:cs="Arial" w:eastAsia="Arial" w:hAnsi="Arial"/>
          <w:sz w:val="24"/>
          <w:szCs w:val="24"/>
        </w:rPr>
        <w:t xml:space="preserve">	</w:t>
      </w:r>
      <w:r>
        <w:rPr>
          <w:rFonts w:ascii="Arial" w:cs="Arial" w:eastAsia="Arial" w:hAnsi="Arial"/>
          <w:sz w:val="22"/>
          <w:szCs w:val="22"/>
        </w:rPr>
        <w:t xml:space="preserve">Национальный статистический комитет Кыргызской Республики;</w:t>
      </w:r>
    </w:p>
    <w:p>
      <w:pPr>
        <w:tabs>
          <w:tab w:val="right" w:pos="10178"/>
        </w:tabs>
        <w:spacing w:after="120"/>
      </w:pPr>
      <w:r>
        <w:rPr>
          <w:rFonts w:ascii="Arial" w:cs="Arial" w:eastAsia="Arial" w:hAnsi="Arial"/>
          <w:b/>
          <w:bCs/>
          <w:sz w:val="22"/>
          <w:szCs w:val="22"/>
        </w:rPr>
        <w:t xml:space="preserve">ГП</w:t>
      </w:r>
      <w:r>
        <w:rPr>
          <w:rFonts w:ascii="Arial" w:cs="Arial" w:eastAsia="Arial" w:hAnsi="Arial"/>
          <w:sz w:val="24"/>
          <w:szCs w:val="24"/>
        </w:rPr>
        <w:t xml:space="preserve">	</w:t>
      </w:r>
      <w:r>
        <w:rPr>
          <w:rFonts w:ascii="Arial" w:cs="Arial" w:eastAsia="Arial" w:hAnsi="Arial"/>
          <w:sz w:val="22"/>
          <w:szCs w:val="22"/>
        </w:rPr>
        <w:t xml:space="preserve">государственное предприятие.</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erttqkt0v7ykaqvw8xsay">
      <w:r>
        <w:rPr>
          <w:rFonts w:ascii="Arial" w:cs="Arial" w:eastAsia="Arial" w:hAnsi="Arial"/>
          <w:color w:val="132D3F"/>
          <w:sz w:val="16"/>
          <w:szCs w:val="16"/>
          <w:u w:val="single"/>
        </w:rPr>
        <w:t xml:space="preserve">dalil.kg/document/157895</w:t>
      </w:r>
    </w:hyperlink>
  </w:p>
  <w:p>
    <w:pPr>
      <w:spacing w:after="0" w:before="40"/>
      <w:jc w:val="center"/>
    </w:pPr>
    <w:hyperlink w:history="1" r:id="rIdgrm8dr2lq34q8jnpaqogs">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bniolbtfszawtqmjqavwu" Type="http://schemas.openxmlformats.org/officeDocument/2006/relationships/hyperlink" Target="https://dalil.kg/document/111338" TargetMode="External"/><Relationship Id="rIdqc8wtxxdriopqcbjinvjg" Type="http://schemas.openxmlformats.org/officeDocument/2006/relationships/hyperlink" Target="https://dalil.kg/document/203685#st_10" TargetMode="External"/><Relationship Id="rIdmefqjjqzaq5crwr2c_zgu" Type="http://schemas.openxmlformats.org/officeDocument/2006/relationships/hyperlink" Target="https://dalil.kg/document/203685#st_17" TargetMode="External"/><Relationship Id="rIdp6zp64zpihln7j0tk00hz" Type="http://schemas.openxmlformats.org/officeDocument/2006/relationships/hyperlink" Target="https://dalil.kg/document/157895#pr"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erttqkt0v7ykaqvw8xsay" Type="http://schemas.openxmlformats.org/officeDocument/2006/relationships/hyperlink" Target="https://dalil.kg/document/157895" TargetMode="External"/><Relationship Id="rIdgrm8dr2lq34q8jnpaqogs"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2026-10-01T14:53:18.356Z</dcterms:created>
  <dcterms:modified xsi:type="dcterms:W3CDTF">2026-10-01T14:53:18.356Z</dcterms:modified>
</cp:coreProperties>
</file>

<file path=docProps/custom.xml><?xml version="1.0" encoding="utf-8"?>
<Properties xmlns="http://schemas.openxmlformats.org/officeDocument/2006/custom-properties" xmlns:vt="http://schemas.openxmlformats.org/officeDocument/2006/docPropsVTypes"/>
</file>