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2020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приемной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правовых норм, регулирующих порядок создания приемной семьи, в соответствии с </w:t>
      </w:r>
      <w:hyperlink w:history="1" r:id="rIdqambcwy8euqnrkgglu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hyperlink w:history="1" r:id="rIdkmbmvpzmgctn1vkvwy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ooy7wy49tsn53qdgs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slcq5bhmzdi2_sct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приемной семье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zwjylet6liwe-ypo5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 на содержание приемного ребенка и оплаты труда приемных родителей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jdcavfuvgsbiwb2d5q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августа 2014 года № 439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fvcxghajfj0dtoszj0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приемной (фостерной) семье" от 1 октября 2012 года № 670.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выплат на содержание приемного ребенка и оплаты труда приемных родителей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Расчет выплат на содержание одного приемного ребенка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Возраст приемного ребенка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Формула расчета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(* прожиточный минимум с учетом возраста ребенка х 2)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в месяц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(сом.)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0 до 7 лет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3751,85 сома х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7503,7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7 до 14 лет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4376,00 сомов х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14 до 17 лет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4756,10 сома х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9512,2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Расчет оплаты труда приемных родителей (приемной семьи)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выплат приемному родителю при содержании: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Формула расчета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
 (** прожиточный минимум для лиц трудоспособного возраста х 1,5 + надбавка)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в месяц
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(сом.)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одного приемного ребенка (базовый размер выплаты)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5553,52 сома х 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8330,28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 приемных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+ 10%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9163,28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+ 20%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9996,33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детей, один из которых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+ 30%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10829,36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детей, двое из которых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+ 40%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11662,39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трех приемных детей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+ 50% к базовому размеру выплаты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12495,42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Прожиточный минимум для детей соответствующих </w:t>
      </w:r>
      <w:r>
        <w:rPr>
          <w:rFonts w:ascii="Arial" w:cs="Arial" w:eastAsia="Arial" w:hAnsi="Arial"/>
          <w:sz w:val="22"/>
          <w:szCs w:val="22"/>
        </w:rPr>
        <w:t xml:space="preserve">возрастных групп, установленный Национальным статистическим комитетом Кыргызской Республики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Прожиточный минимум, установленный Национальным статистическим комитетом Кыргызской Республики для населения трудоспособного возраста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Лицам, проживающим в высокогорных и отдаленных</w:t>
      </w:r>
      <w:r>
        <w:rPr>
          <w:rFonts w:ascii="Arial" w:cs="Arial" w:eastAsia="Arial" w:hAnsi="Arial"/>
          <w:sz w:val="20"/>
          <w:szCs w:val="20"/>
        </w:rPr>
        <w:t xml:space="preserve"> зонах, где установлены районные коэффициенты доплат к заработной плате и другим социальным выплатам, размеры выплат на содержание ребенка и приемному родителю (родителям) исчисляются без учета этих коэффициентов.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knq6hxtbmqz5zujxn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dalil.kg/document/157898</w:t>
      </w:r>
    </w:hyperlink>
  </w:p>
  <w:p>
    <w:pPr>
      <w:spacing w:after="0" w:before="40"/>
      <w:jc w:val="center"/>
    </w:pPr>
    <w:hyperlink w:history="1" r:id="rId36euquryef_glpfzqr6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mbcwy8euqnrkggluiwi" Type="http://schemas.openxmlformats.org/officeDocument/2006/relationships/hyperlink" Target="https://dalil.kg/document/203700" TargetMode="External"/><Relationship Id="rIdkmbmvpzmgctn1vkvwyatq" Type="http://schemas.openxmlformats.org/officeDocument/2006/relationships/hyperlink" Target="https://dalil.kg/document/203685#st_10" TargetMode="External"/><Relationship Id="rId-ooy7wy49tsn53qdgsvfm" Type="http://schemas.openxmlformats.org/officeDocument/2006/relationships/hyperlink" Target="https://dalil.kg/document/203685#st_17" TargetMode="External"/><Relationship Id="rIdykslcq5bhmzdi2_sctcsu" Type="http://schemas.openxmlformats.org/officeDocument/2006/relationships/hyperlink" Target="https://dalil.kg/document/157900" TargetMode="External"/><Relationship Id="rIdelzwjylet6liwe-ypo5k-" Type="http://schemas.openxmlformats.org/officeDocument/2006/relationships/hyperlink" Target="https://dalil.kg/document/157898#pr2" TargetMode="External"/><Relationship Id="rIdvjdcavfuvgsbiwb2d5q_m" Type="http://schemas.openxmlformats.org/officeDocument/2006/relationships/hyperlink" Target="https://dalil.kg/document/96754" TargetMode="External"/><Relationship Id="rIdrfvcxghajfj0dtoszj0j6" Type="http://schemas.openxmlformats.org/officeDocument/2006/relationships/hyperlink" Target="https://dalil.kg/document/930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knq6hxtbmqz5zujxn8p" Type="http://schemas.openxmlformats.org/officeDocument/2006/relationships/hyperlink" Target="https://dalil.kg/document/157898" TargetMode="External"/><Relationship Id="rId36euquryef_glpfzqr6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2026-09-25T12:08:10.362Z</dcterms:created>
  <dcterms:modified xsi:type="dcterms:W3CDTF">2026-09-25T12:08:10.362Z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