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n7wsjo_hdr20a5wrsl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w:t>
      </w:r>
      <w:r>
        <w:rPr>
          <w:rFonts w:ascii="Arial" w:cs="Arial" w:eastAsia="Arial" w:hAnsi="Arial"/>
          <w:i/>
          <w:iCs/>
          <w:sz w:val="24"/>
          <w:szCs w:val="24"/>
        </w:rPr>
        <w:t xml:space="preserve">сентября</w:t>
      </w:r>
      <w:r>
        <w:rPr>
          <w:rFonts w:ascii="Arial" w:cs="Arial" w:eastAsia="Arial" w:hAnsi="Arial"/>
          <w:i/>
          <w:iCs/>
          <w:sz w:val="24"/>
          <w:szCs w:val="24"/>
        </w:rPr>
        <w:t xml:space="preserve"> 2021 года № </w:t>
      </w:r>
      <w:r>
        <w:rPr>
          <w:rFonts w:ascii="Arial" w:cs="Arial" w:eastAsia="Arial" w:hAnsi="Arial"/>
          <w:i/>
          <w:iCs/>
          <w:sz w:val="24"/>
          <w:szCs w:val="24"/>
        </w:rPr>
        <w:t xml:space="preserve">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2"/>
          <w:szCs w:val="22"/>
        </w:rPr>
        <w:t xml:space="preserve">(к </w:t>
      </w:r>
      <w:hyperlink w:history="1" r:id="rIdgdphqau4e4bg8bw53k6hd">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14 сентября 2020 года № 483)</w:t>
      </w:r>
    </w:p>
    <w:p>
      <w:pPr>
        <w:spacing w:after="400" w:before="400"/>
        <w:jc w:val="center"/>
      </w:pPr>
      <w:r>
        <w:rPr>
          <w:rFonts w:ascii="Arial" w:cs="Arial" w:eastAsia="Arial" w:hAnsi="Arial"/>
          <w:b/>
          <w:bCs/>
          <w:sz w:val="22"/>
          <w:szCs w:val="22"/>
        </w:rPr>
        <w:t xml:space="preserve">Основные направления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Основные направления фискальной политики Кыргызской Республики на 2021-2023 годы разработаны в соответствии со </w:t>
      </w:r>
      <w:r>
        <w:rPr>
          <w:rFonts w:ascii="Arial" w:cs="Arial" w:eastAsia="Arial" w:hAnsi="Arial"/>
          <w:sz w:val="22"/>
          <w:szCs w:val="22"/>
        </w:rPr>
        <w:t xml:space="preserve">статьей 82 </w:t>
      </w:r>
      <w:r>
        <w:rPr>
          <w:rFonts w:ascii="Arial" w:cs="Arial" w:eastAsia="Arial" w:hAnsi="Arial"/>
          <w:sz w:val="22"/>
          <w:szCs w:val="22"/>
        </w:rPr>
        <w:t xml:space="preserve">Бюджетного </w:t>
      </w:r>
      <w:hyperlink w:history="1" r:id="rId2ijostvxotsucagc7hkzc">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с учетом итогов реализации бюджетной политики за 2018-2019 годы, ожидаемой оценки на 2020 год и последствий распространения коронавирусной инфекции.</w:t>
      </w:r>
    </w:p>
    <w:p>
      <w:pPr>
        <w:spacing w:after="60"/>
        <w:ind w:firstLine="567"/>
        <w:jc w:val="both"/>
      </w:pPr>
      <w:r>
        <w:rPr>
          <w:rFonts w:ascii="Arial" w:cs="Arial" w:eastAsia="Arial" w:hAnsi="Arial"/>
          <w:sz w:val="22"/>
          <w:szCs w:val="22"/>
        </w:rPr>
        <w:t xml:space="preserve">Государственный бюджет является одним из основных инструментов регулирования социально-экономических процессов в стране для управления государственными расходами, налогами, достижения роста реального объема производства и занятости, контроля за инфляцией и ускорения экономического роста.</w:t>
      </w:r>
    </w:p>
    <w:p>
      <w:pPr>
        <w:spacing w:after="60"/>
        <w:ind w:firstLine="567"/>
        <w:jc w:val="both"/>
      </w:pPr>
      <w:r>
        <w:rPr>
          <w:rFonts w:ascii="Arial" w:cs="Arial" w:eastAsia="Arial" w:hAnsi="Arial"/>
          <w:sz w:val="22"/>
          <w:szCs w:val="22"/>
        </w:rPr>
        <w:t xml:space="preserve">Основные направления фискальной политики Кыргызской Республики на 2021-2023 годы сформированы с учетом приоритетных направлений Кыргызской Республики на период до 2023 года, определенных в </w:t>
      </w:r>
      <w:r>
        <w:rPr>
          <w:rFonts w:ascii="Arial" w:cs="Arial" w:eastAsia="Arial" w:hAnsi="Arial"/>
          <w:sz w:val="22"/>
          <w:szCs w:val="22"/>
        </w:rPr>
        <w:t xml:space="preserve">Национальной стратегии развития Кыргызской Республики на 2018-2040 годы.</w:t>
      </w:r>
    </w:p>
    <w:p>
      <w:pPr>
        <w:spacing w:after="60"/>
        <w:ind w:firstLine="567"/>
        <w:jc w:val="both"/>
      </w:pPr>
      <w:r>
        <w:rPr>
          <w:rFonts w:ascii="Arial" w:cs="Arial" w:eastAsia="Arial" w:hAnsi="Arial"/>
          <w:sz w:val="22"/>
          <w:szCs w:val="22"/>
        </w:rPr>
        <w:t xml:space="preserve">В Национальной стратегии развития Кыргызской Республики на 2018-2040 годы определены основные приоритетные направления развития страны. В ней отмечено, что, "прежде всего, необходимо настойчиво проводить государственную политику защиты человека, его политических, экономических, социальных, культурных, экологических прав, а также права на достойную жизнь в благоустроенных городах и селах".</w:t>
      </w:r>
    </w:p>
    <w:p>
      <w:pPr>
        <w:spacing w:after="60"/>
        <w:ind w:firstLine="567"/>
        <w:jc w:val="both"/>
      </w:pPr>
      <w:r>
        <w:rPr>
          <w:rFonts w:ascii="Arial" w:cs="Arial" w:eastAsia="Arial" w:hAnsi="Arial"/>
          <w:sz w:val="22"/>
          <w:szCs w:val="22"/>
        </w:rPr>
        <w:t xml:space="preserve">Это означает обеспечение граждан страны равными возможностями для реализации своих способностей посредством безопасного и производительного труда с достойным вознаграждением, а также доступа к государственному образованию, здравоохранению и социальной защите.</w:t>
      </w:r>
    </w:p>
    <w:p>
      <w:pPr>
        <w:spacing w:after="60"/>
        <w:ind w:firstLine="567"/>
        <w:jc w:val="both"/>
      </w:pPr>
      <w:r>
        <w:rPr>
          <w:rFonts w:ascii="Arial" w:cs="Arial" w:eastAsia="Arial" w:hAnsi="Arial"/>
          <w:sz w:val="22"/>
          <w:szCs w:val="22"/>
        </w:rPr>
        <w:t xml:space="preserve">В среднесрочном периоде приоритетом развития является формирование качественной среды для экономического благополучия граждан через создание условий и возможностей, для развития предпринимательской среды, бизнеса. В этом направлении фискальная политика играет немаловажную роль. Обоснованная, грамотная налоговая политика должна способствовать расширению бизнеса, предпринимательства, соответственно, расширению налогооблагаемой базы. Справедливая, эффективная бюджетная политика призвана поддерживать объекты экономики, в том числе через развитие государственно-частного партнерства. В бюджете на 2020 год было предусмотрено 156,0 млн. сомов на подготовку проектов государственно-частного партнерства.</w:t>
      </w:r>
    </w:p>
    <w:p>
      <w:pPr>
        <w:spacing w:after="60"/>
        <w:ind w:firstLine="567"/>
        <w:jc w:val="both"/>
      </w:pPr>
      <w:r>
        <w:rPr>
          <w:rFonts w:ascii="Arial" w:cs="Arial" w:eastAsia="Arial" w:hAnsi="Arial"/>
          <w:sz w:val="22"/>
          <w:szCs w:val="22"/>
        </w:rPr>
        <w:t xml:space="preserve">Как отмечалось в Национальной стратегии развития </w:t>
      </w:r>
      <w:r>
        <w:rPr>
          <w:rFonts w:ascii="Arial" w:cs="Arial" w:eastAsia="Arial" w:hAnsi="Arial"/>
          <w:sz w:val="22"/>
          <w:szCs w:val="22"/>
        </w:rPr>
        <w:t xml:space="preserve">Кыргызской Республики на 2018-2040 годы, Кыргызстан будет активно проводить реформы для создания конкурентоспособной цифровой экономики через формирование действительно привлекательных условий для предпринимателей, применение инновационных и природосберегающих технологий. Правительством Кыргызской Республики в целях реализации Концепции цифровой трансформации "Цифровой Кыргызстан 2019-2023", одобренной решением Совета безопасности Кыргызской Республики от 14 декабря 2018 года № 2, выпущено распоряжение от 24 марта 2020 года № 98-р о распределении финансовых средств на 2020 год в размере 370,9 млн. сомов на выполнение общегосударственных мероприятий.</w:t>
      </w:r>
    </w:p>
    <w:p>
      <w:pPr>
        <w:spacing w:after="60"/>
        <w:ind w:firstLine="567"/>
        <w:jc w:val="both"/>
      </w:pPr>
      <w:r>
        <w:rPr>
          <w:rFonts w:ascii="Arial" w:cs="Arial" w:eastAsia="Arial" w:hAnsi="Arial"/>
          <w:sz w:val="22"/>
          <w:szCs w:val="22"/>
        </w:rPr>
        <w:t xml:space="preserve">Особое внимание будет уделяться формированию и поддержанию современной производственной инфраструктуры, без которой невозможно экономическое развитие.</w:t>
      </w:r>
    </w:p>
    <w:p>
      <w:pPr>
        <w:spacing w:after="60"/>
        <w:ind w:firstLine="567"/>
        <w:jc w:val="both"/>
      </w:pPr>
      <w:r>
        <w:rPr>
          <w:rFonts w:ascii="Arial" w:cs="Arial" w:eastAsia="Arial" w:hAnsi="Arial"/>
          <w:sz w:val="22"/>
          <w:szCs w:val="22"/>
        </w:rPr>
        <w:t xml:space="preserve">В региональной политике ставится задача по созданию современной инфраструктуры населенных пунктов, обеспечивающих улучшение жизненных условий населения. Для этого государство должно приложить максимум усилий. Так в уточненном бюджете на 2020 год предусмотрено 3875,9 млн. сомов на поддержку бизнеса в регионах.</w:t>
      </w:r>
    </w:p>
    <w:p>
      <w:pPr>
        <w:spacing w:after="200" w:before="200"/>
        <w:jc w:val="center"/>
      </w:pPr>
      <w:r>
        <w:rPr>
          <w:rFonts w:ascii="Arial" w:cs="Arial" w:eastAsia="Arial" w:hAnsi="Arial"/>
          <w:b/>
          <w:bCs/>
          <w:sz w:val="22"/>
          <w:szCs w:val="22"/>
        </w:rPr>
        <w:t xml:space="preserve">2. Макрофискальная техническая записка</w:t>
      </w:r>
    </w:p>
    <w:p>
      <w:pPr>
        <w:spacing w:after="200" w:before="200"/>
        <w:jc w:val="center"/>
      </w:pPr>
      <w:r>
        <w:rPr>
          <w:rFonts w:ascii="Arial" w:cs="Arial" w:eastAsia="Arial" w:hAnsi="Arial"/>
          <w:b/>
          <w:bCs/>
          <w:sz w:val="22"/>
          <w:szCs w:val="22"/>
        </w:rPr>
        <w:t xml:space="preserve">2.1. Макроэкономическая политика и среднесрочные прогнозы</w:t>
      </w:r>
    </w:p>
    <w:p>
      <w:pPr>
        <w:spacing w:after="60"/>
        <w:ind w:firstLine="567"/>
        <w:jc w:val="both"/>
      </w:pPr>
      <w:r>
        <w:rPr>
          <w:rFonts w:ascii="Arial" w:cs="Arial" w:eastAsia="Arial" w:hAnsi="Arial"/>
          <w:sz w:val="22"/>
          <w:szCs w:val="22"/>
        </w:rPr>
        <w:t xml:space="preserve">Макроэкономическая ситуация в Кыргызской Республике за 2018-2019 годы,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Среднегодовой темп прироста ВВП сохранил положительную динамику и составил 4,2%.</w:t>
      </w:r>
    </w:p>
    <w:p>
      <w:pPr>
        <w:spacing w:after="60"/>
        <w:ind w:firstLine="567"/>
        <w:jc w:val="both"/>
      </w:pPr>
      <w:r>
        <w:rPr>
          <w:rFonts w:ascii="Arial" w:cs="Arial" w:eastAsia="Arial" w:hAnsi="Arial"/>
          <w:sz w:val="22"/>
          <w:szCs w:val="22"/>
        </w:rPr>
        <w:t xml:space="preserve">В 2019 году реальный рост ВВП сложился на уровне 4,5% за счет увеличения темпов роста валовой продукции: в промышленности - на 6,9%, сельском хозяйстве - на 2,6%, строительстве - на 10,6% и сфере услуг - на 3,0%. Основными благоприятными факторами, оказавшими влияние на экономический рост, является умеренный уровень инфляции, что обусловило реальный рост доходов населения, предоставление льготных кредитов фермерам.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производства и темпы роста реального ВВП,
 2018-2019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4"/>
        <w:gridCol w:w="1244"/>
        <w:gridCol w:w="1244"/>
        <w:gridCol w:w="3127"/>
      </w:tblGrid>
      <w:tr>
        <w:tc>
          <w:tcPr>
            <w:tcW w:type="dxa" w:w="45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c>
          <w:tcPr>
            <w:tcW w:type="dxa" w:w="3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за 2018-2019 гг.</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в текущих ценах (млн. сом.)</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по секторам (%)</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чистые налоги на продукты</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прироста ВВП (%)</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Кумтора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Темпы реального роста валовой продукции отраслей, %</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 без учета Кумтора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r>
      <w:tr>
        <w:tc>
          <w:tcPr>
            <w:tcW w:type="dxa" w:w="4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bl>
    <w:p>
      <w:pPr>
        <w:spacing w:after="60" w:before="120"/>
        <w:ind w:firstLine="567"/>
        <w:jc w:val="both"/>
      </w:pPr>
      <w:r>
        <w:rPr>
          <w:rFonts w:ascii="Arial" w:cs="Arial" w:eastAsia="Arial" w:hAnsi="Arial"/>
          <w:sz w:val="22"/>
          <w:szCs w:val="22"/>
        </w:rPr>
        <w:t xml:space="preserve">В 2019 году объем производства промышленной продукции по сравнению с соответствующим периодом 2018 года увеличился на 6,9%. Без предприятия по разработке месторождения Кумтор рост составил 2%.</w:t>
      </w:r>
    </w:p>
    <w:p>
      <w:pPr>
        <w:spacing w:after="60"/>
        <w:ind w:firstLine="567"/>
        <w:jc w:val="both"/>
      </w:pPr>
      <w:r>
        <w:rPr>
          <w:rFonts w:ascii="Arial" w:cs="Arial" w:eastAsia="Arial" w:hAnsi="Arial"/>
          <w:sz w:val="22"/>
          <w:szCs w:val="22"/>
        </w:rPr>
        <w:t xml:space="preserve">Рост объемов в обрабатывающей промышленности на 8,3% обусловлен увеличением производства пищевых продуктов (включая напитки) и табачных изделий - на 3,9%, текстильного производства, производства одежды и обуви, кожи и прочих кожаных изделий - на 18,2%, основных металлов и готовых металлических изделий, кроме машин и оборудования - на 11,8%, резиновых и пластмассовых изделий, прочих неметаллических минеральных продуктов - на 6,7%, электронного оборудования - на 24,1%.</w:t>
      </w:r>
    </w:p>
    <w:p>
      <w:pPr>
        <w:spacing w:after="60"/>
        <w:ind w:firstLine="567"/>
        <w:jc w:val="both"/>
      </w:pPr>
      <w:r>
        <w:rPr>
          <w:rFonts w:ascii="Arial" w:cs="Arial" w:eastAsia="Arial" w:hAnsi="Arial"/>
          <w:sz w:val="22"/>
          <w:szCs w:val="22"/>
        </w:rPr>
        <w:t xml:space="preserve">В добыче полезных ископаемых увеличение объемов промышленного производства на 18,4% обеспечено ростом добычи угля на 6,9%, сырой нефти и природного газа - на 17,0%, металлических руд - на 28,5% и прочих полезных ископаемых - на 8,9%.</w:t>
      </w:r>
    </w:p>
    <w:p>
      <w:pPr>
        <w:spacing w:after="60"/>
        <w:ind w:firstLine="567"/>
        <w:jc w:val="both"/>
      </w:pPr>
      <w:r>
        <w:rPr>
          <w:rFonts w:ascii="Arial" w:cs="Arial" w:eastAsia="Arial" w:hAnsi="Arial"/>
          <w:sz w:val="22"/>
          <w:szCs w:val="22"/>
        </w:rPr>
        <w:t xml:space="preserve">Объем обеспечения электроэнергией, газом, паром и кондиционированным воздухом сократился на 3,4% за счет снижения производства, передачи и распределения электроэнергии на 3,5%.</w:t>
      </w:r>
    </w:p>
    <w:p>
      <w:pPr>
        <w:spacing w:after="60"/>
        <w:ind w:firstLine="567"/>
        <w:jc w:val="both"/>
      </w:pPr>
      <w:r>
        <w:rPr>
          <w:rFonts w:ascii="Arial" w:cs="Arial" w:eastAsia="Arial" w:hAnsi="Arial"/>
          <w:sz w:val="22"/>
          <w:szCs w:val="22"/>
        </w:rPr>
        <w:t xml:space="preserve">В 2019 году рост сельского хозяйства на 2,6% обусловлен увеличением растениеводческой продукции на 2,6% за счет увеличения производства овощей на 6,2%, зерновых культур (в весе после доработки) - на 2,2%, плодово-ягодных культур - на 6,8%, хлопка - на 7,4% и ростом животноводства на 2,5% за счет увеличения производства мяса на 2,5%, молока - на 2,4%, яиц - на 5,3% и шерсти - на 1,1%.</w:t>
      </w:r>
    </w:p>
    <w:p>
      <w:pPr>
        <w:spacing w:after="60"/>
        <w:ind w:firstLine="567"/>
        <w:jc w:val="both"/>
      </w:pPr>
      <w:r>
        <w:rPr>
          <w:rFonts w:ascii="Arial" w:cs="Arial" w:eastAsia="Arial" w:hAnsi="Arial"/>
          <w:sz w:val="22"/>
          <w:szCs w:val="22"/>
        </w:rPr>
        <w:t xml:space="preserve">В 2019 году темп роста услуг составил 3,0%, в основном, за счет увеличения объема услуг оптовой и розничной торговли, ремонта автомобилей и мотоциклов - на 4,9%, транспортной деятельности и хранения грузов - на 4,8%, услуг гостиниц и ресторанов - на 7,0%, информации и связи - на 1,2%.</w:t>
      </w:r>
    </w:p>
    <w:p>
      <w:pPr>
        <w:spacing w:after="60"/>
        <w:ind w:firstLine="567"/>
        <w:jc w:val="both"/>
      </w:pPr>
      <w:r>
        <w:rPr>
          <w:rFonts w:ascii="Arial" w:cs="Arial" w:eastAsia="Arial" w:hAnsi="Arial"/>
          <w:sz w:val="22"/>
          <w:szCs w:val="22"/>
        </w:rPr>
        <w:t xml:space="preserve">В 2019 году рост строительной отрасли на 10,6% обусловлен увеличением освоения инвестиций в основной капитал - на 5,8%, в том числе за счет увеличения освоенных инвестиций в строительство объектов сельского, лесного хозяйства и рыболовства - на 24,4%, добычу полезных ископаемых - на 21,5%, систему водоснабжения, очистки и обработки отходов - в 3,1 раза, оптовую и розничную торговлю - в 1,4 раза, образование - в 1,3 раза.</w:t>
      </w:r>
    </w:p>
    <w:p>
      <w:pPr>
        <w:spacing w:after="60"/>
        <w:ind w:firstLine="567"/>
        <w:jc w:val="both"/>
      </w:pPr>
      <w:r>
        <w:rPr>
          <w:rFonts w:ascii="Arial" w:cs="Arial" w:eastAsia="Arial" w:hAnsi="Arial"/>
          <w:sz w:val="22"/>
          <w:szCs w:val="22"/>
        </w:rPr>
        <w:t xml:space="preserve">В 2019 году уровень инфляции (в % к декабрю предыдущего года) составил 3,1% в связи с ростом цен на пищевые продукты и безалкогольные напитки - на 5,7%, алкогольные напитки, табачные изделия - на 3,4%, непродовольственные товары - на 0,6%, тарифы на услуги - на 0,4%.</w:t>
      </w:r>
    </w:p>
    <w:p>
      <w:pPr>
        <w:spacing w:after="60"/>
        <w:ind w:firstLine="567"/>
        <w:jc w:val="both"/>
      </w:pPr>
      <w:r>
        <w:rPr>
          <w:rFonts w:ascii="Arial" w:cs="Arial" w:eastAsia="Arial" w:hAnsi="Arial"/>
          <w:sz w:val="22"/>
          <w:szCs w:val="22"/>
        </w:rPr>
        <w:t xml:space="preserve">В 2019 году экспорт товаров в номинальном выражении увеличился на 7,0% за счет увеличения основных экспортных поставок фруктов - в 1,4 раза, овощей - в 1,4 раза, молока и молочных продуктов - в 1,4 раза, табака - в 1,5 раза, портландцемента - в 1,2 раза, золота - на 25,4%, шерсти - на 14,2%.</w:t>
      </w:r>
    </w:p>
    <w:p>
      <w:pPr>
        <w:spacing w:after="60"/>
        <w:ind w:firstLine="567"/>
        <w:jc w:val="both"/>
      </w:pPr>
      <w:r>
        <w:rPr>
          <w:rFonts w:ascii="Arial" w:cs="Arial" w:eastAsia="Arial" w:hAnsi="Arial"/>
          <w:sz w:val="22"/>
          <w:szCs w:val="22"/>
        </w:rPr>
        <w:t xml:space="preserve">В 2019 году номинальный темп роста импорта товаров снизился на 7,3%, в основном, за счет снижения импорта легковых автомобилей - на 28,1%, дизтоплива - на 29,6%, табачных изделий - на 4,1%, масла растительного - на 2,7%, сахара - на 40,1%, шин - на 9,7%.</w:t>
      </w:r>
    </w:p>
    <w:p>
      <w:pPr>
        <w:spacing w:after="60"/>
        <w:ind w:firstLine="567"/>
        <w:jc w:val="both"/>
      </w:pPr>
      <w:r>
        <w:rPr>
          <w:rFonts w:ascii="Arial" w:cs="Arial" w:eastAsia="Arial" w:hAnsi="Arial"/>
          <w:sz w:val="22"/>
          <w:szCs w:val="22"/>
        </w:rPr>
        <w:t xml:space="preserve">Основные преобразования в социальной сфере были направлены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w:t>
      </w:r>
    </w:p>
    <w:p>
      <w:pPr>
        <w:spacing w:after="60"/>
        <w:ind w:firstLine="567"/>
        <w:jc w:val="both"/>
      </w:pPr>
      <w:r>
        <w:rPr>
          <w:rFonts w:ascii="Arial" w:cs="Arial" w:eastAsia="Arial" w:hAnsi="Arial"/>
          <w:sz w:val="22"/>
          <w:szCs w:val="22"/>
        </w:rPr>
        <w:t xml:space="preserve">В 2019 году среднемесячная заработная плата без учета малых предприятий составила 17166 сомов, что превышает минимальный прожиточный минимум трудоспособного населения в 3,2 раза. Стоимостная величина прожиточного минимума в среднем на душу населения увеличилась на 0,3% по сравнению с 2018 годом и составила 4806,3 сома в 2019 году (4792,5 сома в 2018 г.), в том числе трудоспособного населения - на 0,2% и составила 5368,6 сома (5357,9 сома в 2018 г.).</w:t>
      </w:r>
    </w:p>
    <w:p>
      <w:pPr>
        <w:spacing w:after="60"/>
        <w:ind w:firstLine="567"/>
        <w:jc w:val="both"/>
      </w:pPr>
      <w:r>
        <w:rPr>
          <w:rFonts w:ascii="Arial" w:cs="Arial" w:eastAsia="Arial" w:hAnsi="Arial"/>
          <w:sz w:val="22"/>
          <w:szCs w:val="22"/>
        </w:rPr>
        <w:t xml:space="preserve">В 2019 году темп реального роста ВВП на душу населения составил 99,2%, а в денежном выражении - 1348,6 долл. США.</w:t>
      </w:r>
    </w:p>
    <w:p>
      <w:pPr>
        <w:spacing w:after="60"/>
        <w:ind w:firstLine="567"/>
        <w:jc w:val="both"/>
      </w:pPr>
      <w:r>
        <w:rPr>
          <w:rFonts w:ascii="Arial" w:cs="Arial" w:eastAsia="Arial" w:hAnsi="Arial"/>
          <w:sz w:val="22"/>
          <w:szCs w:val="22"/>
        </w:rPr>
        <w:t xml:space="preserve">Результаты оценок измерения благосостояния населения в республике свидетельствуют о снижении уровня бедности до 20,1% - в 2019 году.</w:t>
      </w:r>
    </w:p>
    <w:p>
      <w:pPr>
        <w:spacing w:after="60"/>
        <w:ind w:firstLine="567"/>
        <w:jc w:val="both"/>
      </w:pPr>
      <w:r>
        <w:rPr>
          <w:rFonts w:ascii="Arial" w:cs="Arial" w:eastAsia="Arial" w:hAnsi="Arial"/>
          <w:sz w:val="22"/>
          <w:szCs w:val="22"/>
        </w:rPr>
        <w:t xml:space="preserve">Среднегодовая численность наличного населения республики в 2019 году составила 6201,4 тыс. человек. Численность занятого населения в республике в 2019 году по сравнению с 2018 годом увеличилась на 0,9% и составила 2403,9 тыс. чел. Уровень общей безработицы в 2019 году составил 6,0% от экономически активного населения.</w:t>
      </w:r>
    </w:p>
    <w:p>
      <w:pPr>
        <w:spacing w:after="60"/>
        <w:ind w:firstLine="567"/>
        <w:jc w:val="both"/>
      </w:pPr>
      <w:r>
        <w:rPr>
          <w:rFonts w:ascii="Arial" w:cs="Arial" w:eastAsia="Arial" w:hAnsi="Arial"/>
          <w:sz w:val="22"/>
          <w:szCs w:val="22"/>
        </w:rPr>
        <w:t xml:space="preserve">В 2020 году в связи с ведением режима чрезвычайной ситуации/положения по предотвращению дальнейшего распространения коронавирусной инфекции COVID-19 будут прилагаться все усилия для принятия безотлагательных мер по стабилизации экономики. Оперативно разработаны меры и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w:t>
      </w:r>
    </w:p>
    <w:p>
      <w:pPr>
        <w:spacing w:after="60"/>
        <w:ind w:firstLine="567"/>
        <w:jc w:val="both"/>
      </w:pPr>
      <w:r>
        <w:rPr>
          <w:rFonts w:ascii="Arial" w:cs="Arial" w:eastAsia="Arial" w:hAnsi="Arial"/>
          <w:sz w:val="22"/>
          <w:szCs w:val="22"/>
        </w:rPr>
        <w:t xml:space="preserve">- План мероприятий по исполнению постановления Жогорку Кенеша Кыргызской Республики "О мерах по сокращению негативных социально-экономических последствий в связи с валютной инфляцией и распространением коронавирусной инфекции COVID-19";</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w:t>
      </w:r>
    </w:p>
    <w:p>
      <w:pPr>
        <w:spacing w:after="60"/>
        <w:ind w:firstLine="567"/>
        <w:jc w:val="both"/>
      </w:pPr>
      <w:r>
        <w:rPr>
          <w:rFonts w:ascii="Arial" w:cs="Arial" w:eastAsia="Arial" w:hAnsi="Arial"/>
          <w:sz w:val="22"/>
          <w:szCs w:val="22"/>
        </w:rPr>
        <w:t xml:space="preserve">В 2020 году экономическое развитие страны будет осуществляться в соответствии с ориентирами, отраженными в Программе развития Кыргызской Республики на период 2018-2022 годы "Единство. Доверие. Созидание", Национальной стратегии развития Кыргызской Республики на 2018-2040 годы, Основных направлениях денежно-кредитной политики на среднесрочный период, направленными на достижение развития регионов в рамках объявленного Года развития регионов, цифровизацию страны и поддержку детей, а также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w:t>
      </w:r>
    </w:p>
    <w:p>
      <w:pPr>
        <w:spacing w:after="60"/>
        <w:ind w:firstLine="567"/>
        <w:jc w:val="both"/>
      </w:pPr>
      <w:r>
        <w:rPr>
          <w:rFonts w:ascii="Arial" w:cs="Arial" w:eastAsia="Arial" w:hAnsi="Arial"/>
          <w:sz w:val="22"/>
          <w:szCs w:val="22"/>
        </w:rPr>
        <w:t xml:space="preserve">На развитие экономики в 2020 году окажет влияние ситуация, сложившаяся в связи с распространением коронавируса. Ожидается спад ВВП на 5,3% из-за спада производства в промышленности и сфере услуг. Среднее значение инфляции к концу текущего года будет находиться в рамках среднесрочных целевых ориентиров денежно-кредитной политики в пределах 5-7 процентов.</w:t>
      </w:r>
    </w:p>
    <w:p>
      <w:pPr>
        <w:spacing w:after="60"/>
        <w:ind w:firstLine="567"/>
        <w:jc w:val="both"/>
      </w:pPr>
      <w:r>
        <w:rPr>
          <w:rFonts w:ascii="Arial" w:cs="Arial" w:eastAsia="Arial" w:hAnsi="Arial"/>
          <w:sz w:val="22"/>
          <w:szCs w:val="22"/>
        </w:rPr>
        <w:t xml:space="preserve">В структуре производства ВВП будут доминировать сфера услуг, промышленность и сельское хозяйство с удельным весом 45,1%, 18,2% и 13,0%, соответственно.</w:t>
      </w:r>
    </w:p>
    <w:p>
      <w:pPr>
        <w:spacing w:after="60"/>
        <w:ind w:firstLine="567"/>
        <w:jc w:val="both"/>
      </w:pPr>
      <w:r>
        <w:rPr>
          <w:rFonts w:ascii="Arial" w:cs="Arial" w:eastAsia="Arial" w:hAnsi="Arial"/>
          <w:sz w:val="22"/>
          <w:szCs w:val="22"/>
        </w:rPr>
        <w:t xml:space="preserve">В 2020 году в промышленности(1) ожидается спад на 4,7%. Без учета Кумтора спад составит 0,1%. Такое снижение в промышленной отрасли будет обусловлено снижением объемов обрабатывающего производства на 6,1% из-за снижения объема текстильного производства, производства одежды и обуви, кожи и прочих кожаных изделий на - 10,0%, производства кокса и очищенных нефтепродуктов - на 49,2%, резиновых и пластмассовых изделий, прочих неметаллических минеральных продуктов - на 16,2%, основных металлов и готовых металлических изделий, кроме машин и оборудования - на 5,3%, транспортных средств - на 5,0%.</w:t>
      </w:r>
    </w:p>
    <w:p>
      <w:pPr>
        <w:spacing w:after="60"/>
        <w:ind w:firstLine="567"/>
        <w:jc w:val="both"/>
      </w:pPr>
      <w:r>
        <w:rPr>
          <w:rFonts w:ascii="Arial" w:cs="Arial" w:eastAsia="Arial" w:hAnsi="Arial"/>
          <w:sz w:val="22"/>
          <w:szCs w:val="22"/>
        </w:rPr>
        <w:t xml:space="preserve">В сельском хозяйстве в 2020 году ожидается рост на 2,0% за счет увеличения производства продукции растениеводства - на 1,7% и животноводства - на 2,3%.</w:t>
      </w:r>
    </w:p>
    <w:p>
      <w:pPr>
        <w:spacing w:after="60"/>
        <w:ind w:firstLine="567"/>
        <w:jc w:val="both"/>
      </w:pPr>
      <w:r>
        <w:rPr>
          <w:rFonts w:ascii="Arial" w:cs="Arial" w:eastAsia="Arial" w:hAnsi="Arial"/>
          <w:sz w:val="22"/>
          <w:szCs w:val="22"/>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w:t>
      </w:r>
    </w:p>
    <w:p>
      <w:pPr>
        <w:spacing w:after="60"/>
        <w:ind w:firstLine="567"/>
        <w:jc w:val="both"/>
      </w:pPr>
      <w:r>
        <w:rPr>
          <w:rFonts w:ascii="Arial" w:cs="Arial" w:eastAsia="Arial" w:hAnsi="Arial"/>
          <w:sz w:val="22"/>
          <w:szCs w:val="22"/>
        </w:rPr>
        <w:t xml:space="preserve">В 2020 году из-за влияния карантинных мероприятий ожидается спад сферы услуг на 9,0% за счет снижения оборотов оптовой и розничной торговли, ремонта автомобилей и мотоциклов (на 11,9%), транспортной деятельности и хранения грузов (на 19,0%), гостиниц и ресторанов (на 26,0%), искусства, развлечений и отдыха (на 28,8%).</w:t>
      </w:r>
    </w:p>
    <w:p>
      <w:pPr>
        <w:spacing w:after="60"/>
        <w:ind w:firstLine="567"/>
        <w:jc w:val="both"/>
      </w:pPr>
      <w:r>
        <w:rPr>
          <w:rFonts w:ascii="Arial" w:cs="Arial" w:eastAsia="Arial" w:hAnsi="Arial"/>
          <w:sz w:val="22"/>
          <w:szCs w:val="22"/>
        </w:rPr>
        <w:t xml:space="preserve">Общий объем капитальных вложений в 2020 году ожидается на уровне 167,1 млрд. сомов. Исходя из ожидаемого объема освоения капитальных вложений, валовая продукция строительства ожидается в объеме 178,9 млрд. сомов с реальным ростом на 2,9%. Приоритетными направлениями в строительстве будут: объекты строительства индивидуального жилья; объекты транспортной магистрали и энергетики; объекты сельского хозяйства (ирригационные сооружения).</w:t>
      </w:r>
    </w:p>
    <w:p>
      <w:pPr>
        <w:spacing w:after="60"/>
        <w:ind w:firstLine="567"/>
        <w:jc w:val="both"/>
      </w:pPr>
      <w:r>
        <w:rPr>
          <w:rFonts w:ascii="Arial" w:cs="Arial" w:eastAsia="Arial" w:hAnsi="Arial"/>
          <w:sz w:val="22"/>
          <w:szCs w:val="22"/>
        </w:rPr>
        <w:t xml:space="preserve">В структуре ВВП по использованию в 2020 году доля валовых инвестиций увеличится с 34,9% в 2019 году до 35,6% в 2020 году.</w:t>
      </w:r>
    </w:p>
    <w:p>
      <w:pPr>
        <w:spacing w:after="60"/>
        <w:ind w:firstLine="567"/>
        <w:jc w:val="both"/>
      </w:pPr>
      <w:r>
        <w:rPr>
          <w:rFonts w:ascii="Arial" w:cs="Arial" w:eastAsia="Arial" w:hAnsi="Arial"/>
          <w:sz w:val="22"/>
          <w:szCs w:val="22"/>
        </w:rPr>
        <w:t xml:space="preserve">Удельный вес общего потребления ВВП снизится с 97,7% в 2019 году до 96,9% - в 2020 году. Темп реального роста государственного потребления в 2020 году сложится на уровне (-) 1,2%, а частного потребления - на (-) 7,0%.</w:t>
      </w:r>
    </w:p>
    <w:p>
      <w:pPr>
        <w:spacing w:after="60"/>
        <w:ind w:firstLine="567"/>
        <w:jc w:val="both"/>
      </w:pPr>
      <w:r>
        <w:rPr>
          <w:rFonts w:ascii="Arial" w:cs="Arial" w:eastAsia="Arial" w:hAnsi="Arial"/>
          <w:sz w:val="22"/>
          <w:szCs w:val="22"/>
        </w:rPr>
        <w:t xml:space="preserve">Показатель чистого экспорта товаров и услуг к ВВП в 2020 году составит (-) 32,5% и улучшится на 0,2 процентных пункта по сравнению с 2019 годом (-) 32,7%.</w:t>
      </w:r>
    </w:p>
    <w:p>
      <w:pPr>
        <w:spacing w:after="60"/>
        <w:ind w:firstLine="567"/>
        <w:jc w:val="both"/>
      </w:pPr>
      <w:r>
        <w:rPr>
          <w:rFonts w:ascii="Arial" w:cs="Arial" w:eastAsia="Arial" w:hAnsi="Arial"/>
          <w:sz w:val="22"/>
          <w:szCs w:val="22"/>
        </w:rPr>
        <w:t xml:space="preserve">В 2020 году экспорт товаров составит 1842,7 млн. долл. США и уменьшится на 6,2% (в номинальном выражении) из-за снижения экспорта предметов одежды и одежных принадлежностей, овощей и фруктов, хлопка-волокна.</w:t>
      </w:r>
    </w:p>
    <w:p>
      <w:pPr>
        <w:spacing w:after="60"/>
        <w:ind w:firstLine="567"/>
        <w:jc w:val="both"/>
      </w:pPr>
      <w:r>
        <w:rPr>
          <w:rFonts w:ascii="Arial" w:cs="Arial" w:eastAsia="Arial" w:hAnsi="Arial"/>
          <w:sz w:val="22"/>
          <w:szCs w:val="22"/>
        </w:rPr>
        <w:t xml:space="preserve">Импорт товаров составит 4343 млн. долл. США и уменьшится на 11,4% (в номинальном выражении) из-за снижения импорта нефтепродуктов, машин, специально предназначенных для конкретных отраслей, электрических машин, оборудования и аппаратуры, средств наземного транспорта, черных металлов и изделий из них, пластмассы и изделий из них, удобрений, древесины и изделий из нее, бумаги, картона и изделий из них, продовольственных товаров (включая сельхозсырье).</w:t>
      </w:r>
    </w:p>
    <w:p>
      <w:pPr>
        <w:spacing w:after="60"/>
        <w:ind w:firstLine="567"/>
        <w:jc w:val="both"/>
      </w:pPr>
      <w:r>
        <w:rPr>
          <w:rFonts w:ascii="Arial" w:cs="Arial" w:eastAsia="Arial" w:hAnsi="Arial"/>
          <w:sz w:val="22"/>
          <w:szCs w:val="22"/>
        </w:rPr>
        <w:t xml:space="preserve">В основу оценки развития страны заложен базовый макроэкономический сценарий развития Кыргызской Республики с учетом режима чрезвычайного положения в отдельных регионах страны и влияния внешних факторов на экономику страны, взятый за основу при формировании Основных направлений фискальной политики Кыргызской Республики на 2021-2023 годы.</w:t>
      </w:r>
    </w:p>
    <w:p>
      <w:pPr>
        <w:spacing w:after="60"/>
        <w:ind w:firstLine="567"/>
        <w:jc w:val="both"/>
      </w:pPr>
      <w:r>
        <w:rPr>
          <w:rFonts w:ascii="Arial" w:cs="Arial" w:eastAsia="Arial" w:hAnsi="Arial"/>
          <w:sz w:val="22"/>
          <w:szCs w:val="22"/>
        </w:rPr>
        <w:t xml:space="preserve">В среднесрочном периоде на 2021-2023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w:t>
      </w:r>
    </w:p>
    <w:p>
      <w:pPr>
        <w:spacing w:after="60"/>
        <w:ind w:firstLine="567"/>
        <w:jc w:val="both"/>
      </w:pPr>
      <w:r>
        <w:rPr>
          <w:rFonts w:ascii="Arial" w:cs="Arial" w:eastAsia="Arial" w:hAnsi="Arial"/>
          <w:sz w:val="22"/>
          <w:szCs w:val="22"/>
        </w:rPr>
        <w:t xml:space="preserve">Целевые макроэкономические показатели будут основаны на полной и успешной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w:t>
      </w:r>
    </w:p>
    <w:p>
      <w:pPr>
        <w:spacing w:after="60"/>
        <w:ind w:firstLine="567"/>
        <w:jc w:val="both"/>
      </w:pPr>
      <w:r>
        <w:rPr>
          <w:rFonts w:ascii="Arial" w:cs="Arial" w:eastAsia="Arial" w:hAnsi="Arial"/>
          <w:sz w:val="22"/>
          <w:szCs w:val="22"/>
        </w:rPr>
        <w:t xml:space="preserve">К внешним и внутренним рискам, которые могут оказать воздействие на рост ВВП в 2021-2023 гг., относятся:</w:t>
      </w:r>
    </w:p>
    <w:p>
      <w:pPr>
        <w:spacing w:after="60"/>
        <w:ind w:firstLine="567"/>
        <w:jc w:val="both"/>
      </w:pPr>
      <w:r>
        <w:rPr>
          <w:rFonts w:ascii="Arial" w:cs="Arial" w:eastAsia="Arial" w:hAnsi="Arial"/>
          <w:sz w:val="22"/>
          <w:szCs w:val="22"/>
        </w:rPr>
        <w:t xml:space="preserve">- замедление темпов мировой экономики на фоне напряженности в торговле, неопределенности на финансовых рынках, последствий вспышек коронавирусной инфекции COVID-19;</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2"/>
          <w:szCs w:val="22"/>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2"/>
          <w:szCs w:val="22"/>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2"/>
          <w:szCs w:val="22"/>
        </w:rPr>
        <w:t xml:space="preserve">В среднесрочном периоде будет продолжена работа по согласованию денежно-кредитной и бюджетно-налоговой политики, направленной на укрепление тенденций макроэкономической стабильности. Основной целью денежно-кредитной политики остается достижение и поддержание стабильности цен. Приоритетным направлением остается дальнейшее увеличение доли безналичных платежей и расчетов. Формирование обменного курса будет основываться на рыночном механизме.</w:t>
      </w:r>
    </w:p>
    <w:p>
      <w:pPr>
        <w:spacing w:after="60"/>
        <w:ind w:firstLine="567"/>
        <w:jc w:val="both"/>
      </w:pPr>
      <w:r>
        <w:rPr>
          <w:rFonts w:ascii="Arial" w:cs="Arial" w:eastAsia="Arial" w:hAnsi="Arial"/>
          <w:sz w:val="22"/>
          <w:szCs w:val="22"/>
        </w:rPr>
        <w:t xml:space="preserve">В экономике среднегодовой рост реального ВВП, прогнозируемый на уровне 3,4%, будет обусловлен устойчивым ростом во всех отраслях экономики.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производства и темпы роста реального ВВП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3"/>
        <w:gridCol w:w="1327"/>
        <w:gridCol w:w="1392"/>
        <w:gridCol w:w="1392"/>
        <w:gridCol w:w="1392"/>
        <w:gridCol w:w="1740"/>
      </w:tblGrid>
      <w:tr>
        <w:tc>
          <w:tcPr>
            <w:tcW w:type="dxa" w:w="29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ожид.</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за 2021-2023 гг.</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в текущих ценах (млн.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683462,2</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по отраслям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чистые налоги на продукты и импорт</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Кумтора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Темпы реального прироста выпуска валовой продукции по отраслям (%)</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сельское хозяйство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промышленность</w:t>
            </w:r>
            <w:r>
              <w:rPr>
                <w:rFonts w:ascii="Arial" w:cs="Arial" w:eastAsia="Arial" w:hAnsi="Arial"/>
                <w:sz w:val="22"/>
                <w:szCs w:val="22"/>
              </w:rPr>
              <w:t xml:space="preserve">(1)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строительство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2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услуги</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r>
    </w:tbl>
    <w:p>
      <w:pPr>
        <w:spacing w:after="60" w:before="120"/>
        <w:ind w:firstLine="567"/>
        <w:jc w:val="both"/>
      </w:pPr>
      <w:r>
        <w:rPr>
          <w:rFonts w:ascii="Arial" w:cs="Arial" w:eastAsia="Arial" w:hAnsi="Arial"/>
          <w:sz w:val="22"/>
          <w:szCs w:val="22"/>
        </w:rPr>
        <w:t xml:space="preserve">В 2021-2023 годах темпы роста промышленной продукции(2) прогнозируются в среднем за год на уровне 0,3%, которые будут обеспечены за счет увеличения объемов производства в добыче полезных ископаемых, энергетике. В обрабатывающем производстве прогнозируется спад из-за снижения производства основных металлов и готовых металлических изделий, кроме машин и оборудования, несмотря на рост производства продуктов (включая напитки) и табачных изделий, текстильного производства, производства одежды и обуви, кожи и прочих кожаных изделий, производства деревянных и бумажных изделий, производства кокса и очищенных нефтепродуктов, производства резиновых и пластмассовых изделий, прочих неметаллических минеральных продуктов, производства электрического оборудования.</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2"/>
          <w:szCs w:val="22"/>
        </w:rPr>
        <w:t xml:space="preserve">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В сельском хозяйстве среднегодовой темп роста прогнозируется на уровне 3,1% за счет:</w:t>
      </w:r>
    </w:p>
    <w:p>
      <w:pPr>
        <w:spacing w:after="60"/>
        <w:ind w:firstLine="567"/>
        <w:jc w:val="both"/>
      </w:pPr>
      <w:r>
        <w:rPr>
          <w:rFonts w:ascii="Arial" w:cs="Arial" w:eastAsia="Arial" w:hAnsi="Arial"/>
          <w:sz w:val="22"/>
          <w:szCs w:val="22"/>
        </w:rPr>
        <w:t xml:space="preserve">- продолжения предоставления кредитов по программе льготного кредитования фермеров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обновления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2"/>
          <w:szCs w:val="22"/>
        </w:rPr>
        <w:t xml:space="preserve">- продолжения государственной поддержки в предоставлении горюче-смазочных материалов на льготных условиях, обеспечения фермеров необходимой сельхозтехникой на льготных кредитных условиях, решения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2"/>
          <w:szCs w:val="22"/>
        </w:rPr>
        <w:t xml:space="preserve">- активного использования и внедрения фермерами систем капельного орошения, в 2 раза увеличивающих урожайность и позволяющих эффективно использовать водные ресурсы;</w:t>
      </w:r>
    </w:p>
    <w:p>
      <w:pPr>
        <w:spacing w:after="60"/>
        <w:ind w:firstLine="567"/>
        <w:jc w:val="both"/>
      </w:pPr>
      <w:r>
        <w:rPr>
          <w:rFonts w:ascii="Arial" w:cs="Arial" w:eastAsia="Arial" w:hAnsi="Arial"/>
          <w:sz w:val="22"/>
          <w:szCs w:val="22"/>
        </w:rPr>
        <w:t xml:space="preserve">- увеличения посевов сертифицированных семян, улучшения методов обработки земли;</w:t>
      </w:r>
    </w:p>
    <w:p>
      <w:pPr>
        <w:spacing w:after="60"/>
        <w:ind w:firstLine="567"/>
        <w:jc w:val="both"/>
      </w:pPr>
      <w:r>
        <w:rPr>
          <w:rFonts w:ascii="Arial" w:cs="Arial" w:eastAsia="Arial" w:hAnsi="Arial"/>
          <w:sz w:val="22"/>
          <w:szCs w:val="22"/>
        </w:rPr>
        <w:t xml:space="preserve">- создания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для дальнейшей переработки;</w:t>
      </w:r>
    </w:p>
    <w:p>
      <w:pPr>
        <w:spacing w:after="60"/>
        <w:ind w:firstLine="567"/>
        <w:jc w:val="both"/>
      </w:pPr>
      <w:r>
        <w:rPr>
          <w:rFonts w:ascii="Arial" w:cs="Arial" w:eastAsia="Arial" w:hAnsi="Arial"/>
          <w:sz w:val="22"/>
          <w:szCs w:val="22"/>
        </w:rPr>
        <w:t xml:space="preserve">- увеличения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2"/>
          <w:szCs w:val="22"/>
        </w:rPr>
        <w:t xml:space="preserve">- дальнейшего развития тепличных хозяйств;</w:t>
      </w:r>
    </w:p>
    <w:p>
      <w:pPr>
        <w:spacing w:after="60"/>
        <w:ind w:firstLine="567"/>
        <w:jc w:val="both"/>
      </w:pPr>
      <w:r>
        <w:rPr>
          <w:rFonts w:ascii="Arial" w:cs="Arial" w:eastAsia="Arial" w:hAnsi="Arial"/>
          <w:sz w:val="22"/>
          <w:szCs w:val="22"/>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 обеспечения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2"/>
          <w:szCs w:val="22"/>
        </w:rPr>
        <w:t xml:space="preserve">- улучшения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привлечения прямых инвестиций и собственных средств на развитие отрасли.</w:t>
      </w:r>
    </w:p>
    <w:p>
      <w:pPr>
        <w:spacing w:after="60"/>
        <w:ind w:firstLine="567"/>
        <w:jc w:val="both"/>
      </w:pPr>
      <w:r>
        <w:rPr>
          <w:rFonts w:ascii="Arial" w:cs="Arial" w:eastAsia="Arial" w:hAnsi="Arial"/>
          <w:sz w:val="22"/>
          <w:szCs w:val="22"/>
        </w:rPr>
        <w:t xml:space="preserve">В среднесрочном периоде прогнозируется увеличение урожайности сельскохозяйственных культур посредством улучшения ирригационной системы и предоставления минеральных удобрений, своевременного проведения весенне-полевых работ, сокращения неиспользованных пахотных земель, оптимизации структуры посевных площадей, что будет способствовать среднегодовому росту продукции растениеводства на уровне 3,5%.</w:t>
      </w:r>
    </w:p>
    <w:p>
      <w:pPr>
        <w:spacing w:after="60"/>
        <w:ind w:firstLine="567"/>
        <w:jc w:val="both"/>
      </w:pPr>
      <w:r>
        <w:rPr>
          <w:rFonts w:ascii="Arial" w:cs="Arial" w:eastAsia="Arial" w:hAnsi="Arial"/>
          <w:sz w:val="22"/>
          <w:szCs w:val="22"/>
        </w:rPr>
        <w:t xml:space="preserve">В животноводстве среднегодовой темп роста на уровне 2,8% будет достигнут, в основном, за счет увеличения поголовья скота, улучшения генофонда племенных животных и работы по воспроизводству стада, повышения эффективности селекционно-племенной работы.</w:t>
      </w:r>
    </w:p>
    <w:p>
      <w:pPr>
        <w:spacing w:after="60"/>
        <w:ind w:firstLine="567"/>
        <w:jc w:val="both"/>
      </w:pPr>
      <w:r>
        <w:rPr>
          <w:rFonts w:ascii="Arial" w:cs="Arial" w:eastAsia="Arial" w:hAnsi="Arial"/>
          <w:sz w:val="22"/>
          <w:szCs w:val="22"/>
        </w:rPr>
        <w:t xml:space="preserve">В сфере услуг в среднесрочной перспективе объемы валового выпуска услуг прогнозируются в среднем в год на уровне 4,6%, в основном, за счет роста услуг оптовой и розничной торговли, транспортной деятельности, хранения грузов, гостиниц и ресторанов.</w:t>
      </w:r>
    </w:p>
    <w:p>
      <w:pPr>
        <w:spacing w:after="60"/>
        <w:ind w:firstLine="567"/>
        <w:jc w:val="both"/>
      </w:pPr>
      <w:r>
        <w:rPr>
          <w:rFonts w:ascii="Arial" w:cs="Arial" w:eastAsia="Arial" w:hAnsi="Arial"/>
          <w:sz w:val="22"/>
          <w:szCs w:val="22"/>
        </w:rPr>
        <w:t xml:space="preserve">Развитие сектора услуг будет обеспечено за счет поддержания внутреннего спроса. Также основные усилия будут направлены на комплексное улучшение туристической инфраструктуры и повышение уровня сервиса в отрасли. Ожидаемое увеличение притока туристов в страну и сопутствующее улучшение инфраструктуры, капитальные инвестиции в отрасль туризма повлекут за собой развитие рыночных услуг.</w:t>
      </w:r>
    </w:p>
    <w:p>
      <w:pPr>
        <w:spacing w:after="60"/>
        <w:ind w:firstLine="567"/>
        <w:jc w:val="both"/>
      </w:pPr>
      <w:r>
        <w:rPr>
          <w:rFonts w:ascii="Arial" w:cs="Arial" w:eastAsia="Arial" w:hAnsi="Arial"/>
          <w:sz w:val="22"/>
          <w:szCs w:val="22"/>
        </w:rPr>
        <w:t xml:space="preserve">В структуре услуг среднегодовой темп роста оптовой и розничной торговли, ремонта автомобилей и мотоциклов составит 6,2%. Приоритетными направлениями развития будут: стимулирование экспортных поставок республики в соседние страны и расширение экспортных рынков.</w:t>
      </w:r>
    </w:p>
    <w:p>
      <w:pPr>
        <w:spacing w:after="60"/>
        <w:ind w:firstLine="567"/>
        <w:jc w:val="both"/>
      </w:pPr>
      <w:r>
        <w:rPr>
          <w:rFonts w:ascii="Arial" w:cs="Arial" w:eastAsia="Arial" w:hAnsi="Arial"/>
          <w:sz w:val="22"/>
          <w:szCs w:val="22"/>
        </w:rPr>
        <w:t xml:space="preserve">В области услуг транспортной деятельности и хранения грузов среднегодовой темп роста составит 7,5%. Продолжение работ в направлении расширения географии воздушного сообщения и увеличения грузопотока на наземном виде транспорта создаст условия для роста объемов транспортной отрасли.</w:t>
      </w:r>
    </w:p>
    <w:p>
      <w:pPr>
        <w:spacing w:after="60"/>
        <w:ind w:firstLine="567"/>
        <w:jc w:val="both"/>
      </w:pPr>
      <w:r>
        <w:rPr>
          <w:rFonts w:ascii="Arial" w:cs="Arial" w:eastAsia="Arial" w:hAnsi="Arial"/>
          <w:sz w:val="22"/>
          <w:szCs w:val="22"/>
        </w:rPr>
        <w:t xml:space="preserve">Ожидается увеличение объема услуг гостиниц и ресторанов в среднем за год на 6,5% за счет увеличения сети предоставляемых услуг и притока туристов.</w:t>
      </w:r>
    </w:p>
    <w:p>
      <w:pPr>
        <w:spacing w:after="60"/>
        <w:ind w:firstLine="567"/>
        <w:jc w:val="both"/>
      </w:pPr>
      <w:r>
        <w:rPr>
          <w:rFonts w:ascii="Arial" w:cs="Arial" w:eastAsia="Arial" w:hAnsi="Arial"/>
          <w:sz w:val="22"/>
          <w:szCs w:val="22"/>
        </w:rPr>
        <w:t xml:space="preserve">В сфере туризма будет продолжена работа по реализации мероприятий Программы Правительства Кыргызской Республики развития сферы туризма на 2019-2023 годы. Результатом реализуемых мероприятий должно стать достижение темпов роста туристической отрасли в 2022-2023 годах в среднем до 6,5%.</w:t>
      </w:r>
    </w:p>
    <w:p>
      <w:pPr>
        <w:spacing w:after="60"/>
        <w:ind w:firstLine="567"/>
        <w:jc w:val="both"/>
      </w:pPr>
      <w:r>
        <w:rPr>
          <w:rFonts w:ascii="Arial" w:cs="Arial" w:eastAsia="Arial" w:hAnsi="Arial"/>
          <w:sz w:val="22"/>
          <w:szCs w:val="22"/>
        </w:rPr>
        <w:t xml:space="preserve">В строительстве среднегодовой темп реального роста прогнозируется на уровне 9,6%.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безопасных международных транспортных коридоров;</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объектов: Камбаратинской ГЭС-1, Верхне-Нарынского каскада ГЭС, Ат-Башинской ГЭС, Токтогульской ГЭС и других генерирующих объектов;</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будет реализована Программа Правительства Кыргызской Республики по развитию экспорта Кыргызской Республики на 2019-2022 годы, в рамках которой разработан План мероприятий, где заложены меры по созданию инфраструктуры для экспортоориентированных предприятий (транспортно-логистической инфраструктуры, инфраструктуры качества) и упрощению их доступа к финансовым ресурсам.</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2021-2023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том числе туристических. Также 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 С учетом этих факторов внешнеторговый оборот вырастет с 6550 млн. долл. США в 2021 году до 7150 млн. долл. США - в 2023 году, в том числе:</w:t>
      </w:r>
    </w:p>
    <w:p>
      <w:pPr>
        <w:spacing w:after="60"/>
        <w:ind w:firstLine="567"/>
        <w:jc w:val="both"/>
      </w:pPr>
      <w:r>
        <w:rPr>
          <w:rFonts w:ascii="Arial" w:cs="Arial" w:eastAsia="Arial" w:hAnsi="Arial"/>
          <w:sz w:val="22"/>
          <w:szCs w:val="22"/>
        </w:rPr>
        <w:t xml:space="preserve">- увеличится экспорт товаров с 2000 млн. долл. США в 2021 году до 2250 млн. долл. США - в 2022 году и уменьшится до 2000 млн. долл. США в 2023 году. Среднегодовой номинальный темп роста экспорта товаров за период 2021-2023 годы составит 3,3%. Рост экспорта будет обеспечен за счет роста поставок овощей и фруктов, предметов одежды и одежных принадлежностей, цемента, ламп накаливания, хлопка-волокна;</w:t>
      </w:r>
    </w:p>
    <w:p>
      <w:pPr>
        <w:spacing w:after="60"/>
        <w:ind w:firstLine="567"/>
        <w:jc w:val="both"/>
      </w:pPr>
      <w:r>
        <w:rPr>
          <w:rFonts w:ascii="Arial" w:cs="Arial" w:eastAsia="Arial" w:hAnsi="Arial"/>
          <w:sz w:val="22"/>
          <w:szCs w:val="22"/>
        </w:rPr>
        <w:t xml:space="preserve">- увеличится импорт товаров в среднесрочной перспективе с 4550 млн. долл. США в 2021 году до 5150 млн. долл. США - в 2023 году. Среднегодовой номинальный темп роста импорта товаров составит 5,9% за счет увеличения поступлений нефтепродуктов, природного газа, черных металлов и изделий из них, машин, специально предназначенных для конкретных отраслей, электрических машин, оборудования и аппаратуры, пластмассы и изделий из них, средств наземного транспорта, удобрений, древесины и изделий из нее, бумаги, картона и изделий из них,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2"/>
          <w:szCs w:val="22"/>
        </w:rPr>
        <w:t xml:space="preserve">В области социальной политики основными задачами на 2021-2023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социально-незащищенных категорий граждан,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w:t>
      </w:r>
    </w:p>
    <w:p>
      <w:pPr>
        <w:spacing w:after="60"/>
        <w:ind w:firstLine="567"/>
        <w:jc w:val="both"/>
      </w:pPr>
      <w:r>
        <w:rPr>
          <w:rFonts w:ascii="Arial" w:cs="Arial" w:eastAsia="Arial" w:hAnsi="Arial"/>
          <w:sz w:val="22"/>
          <w:szCs w:val="22"/>
        </w:rPr>
        <w:t xml:space="preserve">В среднесрочном периоде прогнозируется рост численности наличного населения в среднем в год на 142,4 тыс. человек, численность занятого населения ежегодно будет возрастать в среднем на 1,1%. ВВП на душу населения увеличится в среднем в год на 2,2% и составит 1296,0 долл. США в 2023 году.</w:t>
      </w:r>
    </w:p>
    <w:p>
      <w:pPr>
        <w:spacing w:after="60"/>
        <w:ind w:firstLine="567"/>
        <w:jc w:val="both"/>
      </w:pPr>
      <w:r>
        <w:rPr>
          <w:rFonts w:ascii="Arial" w:cs="Arial" w:eastAsia="Arial" w:hAnsi="Arial"/>
          <w:sz w:val="22"/>
          <w:szCs w:val="22"/>
        </w:rPr>
        <w:t xml:space="preserve">Реальный рост среднемесячной заработной платы в среднем за 2021-2023 годы прогнозируется на уровне (-) 0,8% и в 2023 году составит 20332,8 сомов. Реальный рост денежных доходов населения прогнозируется в среднем за 2021-2023 годы на уровне (-) 0,6% и составит 508,2 млрд. сомов в 2023 году.</w:t>
      </w:r>
    </w:p>
    <w:p>
      <w:pPr>
        <w:spacing w:after="60"/>
        <w:ind w:firstLine="567"/>
        <w:jc w:val="both"/>
      </w:pPr>
      <w:r>
        <w:rPr>
          <w:rFonts w:ascii="Arial" w:cs="Arial" w:eastAsia="Arial" w:hAnsi="Arial"/>
          <w:sz w:val="22"/>
          <w:szCs w:val="22"/>
        </w:rPr>
        <w:t xml:space="preserve">Уровень бедности в 2023 году составит 20,7% и по сравнению с уровнем 2020 года сократится на 0,5 процентных пункта.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Социальные показатели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6"/>
        <w:gridCol w:w="1061"/>
        <w:gridCol w:w="1134"/>
        <w:gridCol w:w="1134"/>
        <w:gridCol w:w="1134"/>
      </w:tblGrid>
      <w:tr>
        <w:tc>
          <w:tcPr>
            <w:tcW w:type="dxa" w:w="57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w:t>
            </w:r>
          </w:p>
        </w:tc>
      </w:tr>
      <w:tr>
        <w:tc>
          <w:tcPr>
            <w:vMerge w:val="continue"/>
            <w:tcBorders>
              <w:top w:val="single" w:color="CBBF9E" w:sz="4"/>
              <w:left w:val="single" w:color="CBBF9E" w:sz="4"/>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 (тыс. чел.)</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Бедность (в % к населению)</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 долларов США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 (тыс. чел.)</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 млрд. сом.</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508,2</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з/плата, сом.</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57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реальный темп роста (в %)</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bl>
    <w:p>
      <w:pPr>
        <w:spacing w:after="200" w:before="200"/>
        <w:jc w:val="center"/>
      </w:pPr>
      <w:r>
        <w:rPr>
          <w:rFonts w:ascii="Arial" w:cs="Arial" w:eastAsia="Arial" w:hAnsi="Arial"/>
          <w:b/>
          <w:bCs/>
          <w:sz w:val="22"/>
          <w:szCs w:val="22"/>
        </w:rPr>
        <w:t xml:space="preserve">2.2. Политика по доходам и среднесрочный прогноз</w:t>
      </w:r>
    </w:p>
    <w:p>
      <w:pPr>
        <w:spacing w:after="60" w:before="200"/>
        <w:ind w:firstLine="567"/>
        <w:jc w:val="both"/>
      </w:pPr>
      <w:r>
        <w:rPr>
          <w:rFonts w:ascii="Arial" w:cs="Arial" w:eastAsia="Arial" w:hAnsi="Arial"/>
          <w:b/>
          <w:bCs/>
          <w:sz w:val="22"/>
          <w:szCs w:val="22"/>
        </w:rPr>
        <w:t xml:space="preserve">Доходы государственного бюджета в период 2018-2019 годов</w:t>
      </w:r>
    </w:p>
    <w:p>
      <w:pPr>
        <w:spacing w:after="60"/>
        <w:ind w:firstLine="567"/>
        <w:jc w:val="both"/>
      </w:pPr>
      <w:r>
        <w:rPr>
          <w:rFonts w:ascii="Arial" w:cs="Arial" w:eastAsia="Arial" w:hAnsi="Arial"/>
          <w:sz w:val="22"/>
          <w:szCs w:val="22"/>
        </w:rPr>
        <w:t xml:space="preserve">В области доходов бюджета 2018-2019 годы отмечены существенным ростом. Доходы государственного бюджета за рассматриваемый период выросли с 151,5 млрд. сомов до 167,3 млрд. сомов или на 15,8 млрд. сомов. Доля бюджетных доходов по отношению к ВВП выросла на 1,8 процентных пункта ВВП, с 26,6% в 2018 году до 28,4% - в 2019 году.</w:t>
      </w:r>
    </w:p>
    <w:p>
      <w:pPr>
        <w:spacing w:after="60"/>
        <w:ind w:firstLine="567"/>
        <w:jc w:val="both"/>
      </w:pPr>
      <w:r>
        <w:rPr>
          <w:rFonts w:ascii="Arial" w:cs="Arial" w:eastAsia="Arial" w:hAnsi="Arial"/>
          <w:sz w:val="22"/>
          <w:szCs w:val="22"/>
        </w:rPr>
        <w:t xml:space="preserve">В 2018 году прирост поступлений по доходам составил 2,0 млрд. сомов, в 2019 году - 15,8 млрд. сомов.</w:t>
      </w:r>
    </w:p>
    <w:p>
      <w:pPr>
        <w:spacing w:after="60"/>
        <w:ind w:firstLine="567"/>
        <w:jc w:val="both"/>
      </w:pPr>
      <w:r>
        <w:rPr>
          <w:rFonts w:ascii="Arial" w:cs="Arial" w:eastAsia="Arial" w:hAnsi="Arial"/>
          <w:sz w:val="22"/>
          <w:szCs w:val="22"/>
        </w:rPr>
        <w:t xml:space="preserve">Рост поступлений в 2018 году обеспечен в основном за счет налоговых доходов, при этом по полученным официальным трансфертам и неналоговым доходам наблюдается снижение поступлений в сравнении с поступлениями предыдущего года.</w:t>
      </w:r>
    </w:p>
    <w:p>
      <w:pPr>
        <w:spacing w:after="60"/>
        <w:ind w:firstLine="567"/>
        <w:jc w:val="both"/>
      </w:pPr>
      <w:r>
        <w:rPr>
          <w:rFonts w:ascii="Arial" w:cs="Arial" w:eastAsia="Arial" w:hAnsi="Arial"/>
          <w:sz w:val="22"/>
          <w:szCs w:val="22"/>
        </w:rPr>
        <w:t xml:space="preserve">Налоговые доходы в 2018 году составили 116,6 млрд. сомов, с ростом к предыдущему году на 12,8% или на 13,2 млрд. сомов. Доля налоговых доходов в объеме ВВП составила 20,5% и выросла по сравнению с уровнем предыдущего года на 1,0 процентный пункт. Рост социально-экономических показателей, а также улучшение налогового и таможенного администрирования явились основными факторами роста налоговых доходов. Доля налоговых доходов в общем объеме доходов составила 77,0%, увеличившись по сравнению с показателем предыдущего года на 7,9%. Таможенной службой обеспечен рост поступлений в сумме 7,5 млрд. сомов, налоговой службой - в сумме 5,8 млрд. сомов. В составе налоговых доходов наибольший рост отмечается по НДС на товары, ввозимые на территорию Кыргызской Республики из государств-членов ЕАЭС, и НДС на товары, ввозимые на территорию Кыргызской Республики из третьих стран. Только по двум данным налогам прирост составляет 8,3 млрд. сомов.</w:t>
      </w:r>
    </w:p>
    <w:p>
      <w:pPr>
        <w:spacing w:after="60"/>
        <w:ind w:firstLine="567"/>
        <w:jc w:val="both"/>
      </w:pPr>
      <w:r>
        <w:rPr>
          <w:rFonts w:ascii="Arial" w:cs="Arial" w:eastAsia="Arial" w:hAnsi="Arial"/>
          <w:sz w:val="22"/>
          <w:szCs w:val="22"/>
        </w:rPr>
        <w:t xml:space="preserve">Поступления полученных официальных трансфертов в 2018 году составили 9,2 млрд. сомов, со снижением в сравнении с предыдущим годом на 4,3 млрд. сомов, в связи с уменьшением поступлений программных грантов.</w:t>
      </w:r>
    </w:p>
    <w:p>
      <w:pPr>
        <w:spacing w:after="60"/>
        <w:ind w:firstLine="567"/>
        <w:jc w:val="both"/>
      </w:pPr>
      <w:r>
        <w:rPr>
          <w:rFonts w:ascii="Arial" w:cs="Arial" w:eastAsia="Arial" w:hAnsi="Arial"/>
          <w:sz w:val="22"/>
          <w:szCs w:val="22"/>
        </w:rPr>
        <w:t xml:space="preserve">Неналоговые доходы составили 25,7 млрд. сомов, снизившись в сравнении с предыдущим годом на 4,5 млрд. сомов. Данное снижение, в основном, связано с поступлением в 2017 году разовых платежей (перечисленные Генеральной прокуратурой Кыргызской Республики арестованные средства ЗАО "Альфа Телеком" в сумме 5,4 млрд. сомов, поступления от проведения конкурса на право пользования полосами радиочастотного спектра в сумме 0,4 млрд. сомов), а также с уменьшением поступлений прибыли Национального банка на 0,6 млрд. сомов.</w:t>
      </w:r>
    </w:p>
    <w:p>
      <w:pPr>
        <w:spacing w:after="60"/>
        <w:ind w:firstLine="567"/>
        <w:jc w:val="both"/>
      </w:pPr>
      <w:r>
        <w:rPr>
          <w:rFonts w:ascii="Arial" w:cs="Arial" w:eastAsia="Arial" w:hAnsi="Arial"/>
          <w:sz w:val="22"/>
          <w:szCs w:val="22"/>
        </w:rPr>
        <w:t xml:space="preserve">В 2019 году наблюдается значительный рост поступлений доходов. Так, доходы государственного бюджета составили 167,3 млрд. сомов, с увеличением в сравнении с предыдущим годом на 15,8 млрд. сомов. Прирост поступлений наблюдается по всем категориям доходов: налоговые доходы, неналоговые доходы и полученные официальные трансферты.</w:t>
      </w:r>
    </w:p>
    <w:p>
      <w:pPr>
        <w:spacing w:after="60"/>
        <w:ind w:firstLine="567"/>
        <w:jc w:val="both"/>
      </w:pPr>
      <w:r>
        <w:rPr>
          <w:rFonts w:ascii="Arial" w:cs="Arial" w:eastAsia="Arial" w:hAnsi="Arial"/>
          <w:sz w:val="22"/>
          <w:szCs w:val="22"/>
        </w:rPr>
        <w:t xml:space="preserve">Налоговые доходы в 2019 году составили 121,5 млрд. сомов, в сравнении с предыдущим годом увеличившись на 4,2% или 4,9 млрд. сомов. По налоговым доходам, администрируемым налоговой службой, рост составил 3,3 млрд. сомов, администрируемым таможенной службой - 1,6 млрд. сомов. Доля налоговых доходов в объеме ВВП составила 20,6% и выросла по сравнению с уровнем предыдущего года на 0,1 процентных пункта.</w:t>
      </w:r>
    </w:p>
    <w:p>
      <w:pPr>
        <w:spacing w:after="60"/>
        <w:ind w:firstLine="567"/>
        <w:jc w:val="both"/>
      </w:pPr>
      <w:r>
        <w:rPr>
          <w:rFonts w:ascii="Arial" w:cs="Arial" w:eastAsia="Arial" w:hAnsi="Arial"/>
          <w:sz w:val="22"/>
          <w:szCs w:val="22"/>
        </w:rPr>
        <w:t xml:space="preserve">Рост поступлений налоговых доходов в 2019 году обеспечен в основном за счет подоходного налога, налога на доходы лиц-нерезидентов Кыргызской Республики, налога на прибыль, налога на валовый доход Кумтора, таможенного платежа по единым ставкам таможенных пошлин, налогов и ввозных таможенных пошлин в рамках ЕАЭС.</w:t>
      </w:r>
    </w:p>
    <w:p>
      <w:pPr>
        <w:spacing w:after="60"/>
        <w:ind w:firstLine="567"/>
        <w:jc w:val="both"/>
      </w:pPr>
      <w:r>
        <w:rPr>
          <w:rFonts w:ascii="Arial" w:cs="Arial" w:eastAsia="Arial" w:hAnsi="Arial"/>
          <w:sz w:val="22"/>
          <w:szCs w:val="22"/>
        </w:rPr>
        <w:t xml:space="preserve">Значительный рост наблюдается по неналоговым доходам и полученным официальным трансфертам.</w:t>
      </w:r>
    </w:p>
    <w:p>
      <w:pPr>
        <w:spacing w:after="60"/>
        <w:ind w:firstLine="567"/>
        <w:jc w:val="both"/>
      </w:pPr>
      <w:r>
        <w:rPr>
          <w:rFonts w:ascii="Arial" w:cs="Arial" w:eastAsia="Arial" w:hAnsi="Arial"/>
          <w:sz w:val="22"/>
          <w:szCs w:val="22"/>
        </w:rPr>
        <w:t xml:space="preserve">Неналоговые доходы в сравнении с предыдущим годом выросли на 6,6 млрд. сомов и составили 32,3 млрд. сомов. Данный рост произошел в основном за счет увеличения поступлений от оказания платных услуг и поступления средств от ЗАО "Кумтор Голд Компани" для Фонда социального партнерства по развитию регионов и Фонда развития природы, в сумме 4816,2 млн. сомов, согласно Стратегическому соглашению по охране окружающей среды и развитию инвестиций от 11 сентября 2017 года.</w:t>
      </w:r>
    </w:p>
    <w:p>
      <w:pPr>
        <w:spacing w:after="60"/>
        <w:ind w:firstLine="567"/>
        <w:jc w:val="both"/>
      </w:pPr>
      <w:r>
        <w:rPr>
          <w:rFonts w:ascii="Arial" w:cs="Arial" w:eastAsia="Arial" w:hAnsi="Arial"/>
          <w:sz w:val="22"/>
          <w:szCs w:val="22"/>
        </w:rPr>
        <w:t xml:space="preserve">Доля неналоговых доходов в объеме ВВП выросла на 1,0 процентный пункт, составив 5,5% к ВВП.</w:t>
      </w:r>
    </w:p>
    <w:p>
      <w:pPr>
        <w:spacing w:after="60"/>
        <w:ind w:firstLine="567"/>
        <w:jc w:val="both"/>
      </w:pPr>
      <w:r>
        <w:rPr>
          <w:rFonts w:ascii="Arial" w:cs="Arial" w:eastAsia="Arial" w:hAnsi="Arial"/>
          <w:sz w:val="22"/>
          <w:szCs w:val="22"/>
        </w:rPr>
        <w:t xml:space="preserve">Полученные официальные трансферты в 2019 году составили 13,5 млрд. сомов, увеличившись в сравнении с предыдущим годом на 4,7 млрд. сомов (в основном в связи с поступлением грантов России, Индии и Китая). Доля грантов по отношению к ВВП выросла на 0,7 процентных пункта и составила 2,3% к ВВП.</w:t>
      </w:r>
    </w:p>
    <w:p>
      <w:pPr>
        <w:spacing w:after="60" w:before="200"/>
        <w:ind w:firstLine="567"/>
        <w:jc w:val="both"/>
      </w:pPr>
      <w:r>
        <w:rPr>
          <w:rFonts w:ascii="Arial" w:cs="Arial" w:eastAsia="Arial" w:hAnsi="Arial"/>
          <w:b/>
          <w:bCs/>
          <w:sz w:val="22"/>
          <w:szCs w:val="22"/>
        </w:rPr>
        <w:t xml:space="preserve">Оценка доходной части бюджета на 2020 год</w:t>
      </w:r>
    </w:p>
    <w:p>
      <w:pPr>
        <w:spacing w:after="60"/>
        <w:ind w:firstLine="567"/>
        <w:jc w:val="both"/>
      </w:pPr>
      <w:r>
        <w:rPr>
          <w:rFonts w:ascii="Arial" w:cs="Arial" w:eastAsia="Arial" w:hAnsi="Arial"/>
          <w:sz w:val="22"/>
          <w:szCs w:val="22"/>
        </w:rPr>
        <w:t xml:space="preserve">Вспышка эпидемии коронавирусной инфекции COVID-19 в республике привела к негативным последствиям практически для всех отраслей экономики, что отрицательно сказалось на поступлениях доходной части бюджета. В связи с чем возникла необходимость внесения изменений в бюджет 2020 года.</w:t>
      </w:r>
    </w:p>
    <w:p>
      <w:pPr>
        <w:spacing w:after="60"/>
        <w:ind w:firstLine="567"/>
        <w:jc w:val="both"/>
      </w:pPr>
      <w:r>
        <w:rPr>
          <w:rFonts w:ascii="Arial" w:cs="Arial" w:eastAsia="Arial" w:hAnsi="Arial"/>
          <w:sz w:val="22"/>
          <w:szCs w:val="22"/>
        </w:rPr>
        <w:t xml:space="preserve">Так, доходы государственного бюджета на 2020 год согласно Закону Кыргызской Республики "О внесении изменений в Закон Кыргызской Республики "О республиканском бюджете Кыргызской Республики на 2020 год и прогнозе на 2021-2022 годы" от 8 июня 2020 года № 60 снижены в сравнении с утвержденным бюджетом на 29,8 млрд. сомов и определены в сумме 153,9 млрд. сомов.</w:t>
      </w:r>
    </w:p>
    <w:p>
      <w:pPr>
        <w:spacing w:after="60"/>
        <w:ind w:firstLine="567"/>
        <w:jc w:val="both"/>
      </w:pPr>
      <w:r>
        <w:rPr>
          <w:rFonts w:ascii="Arial" w:cs="Arial" w:eastAsia="Arial" w:hAnsi="Arial"/>
          <w:sz w:val="22"/>
          <w:szCs w:val="22"/>
        </w:rPr>
        <w:t xml:space="preserve">Налоговые доходы государственного бюджета прогнозируются в сумме 94,6 млрд. сомов, полученные официальные трансферты - 12,8 млрд. сомов и неналоговые доходы - 29,1 млрд. сомов.</w:t>
      </w:r>
    </w:p>
    <w:p>
      <w:pPr>
        <w:spacing w:after="60" w:before="200"/>
        <w:ind w:firstLine="567"/>
        <w:jc w:val="both"/>
      </w:pPr>
      <w:r>
        <w:rPr>
          <w:rFonts w:ascii="Arial" w:cs="Arial" w:eastAsia="Arial" w:hAnsi="Arial"/>
          <w:b/>
          <w:bCs/>
          <w:sz w:val="22"/>
          <w:szCs w:val="22"/>
        </w:rPr>
        <w:t xml:space="preserve">Оценка доходов государственного бюджета на 2021-2023 годы</w:t>
      </w:r>
    </w:p>
    <w:p>
      <w:pPr>
        <w:spacing w:after="60"/>
        <w:ind w:firstLine="567"/>
        <w:jc w:val="both"/>
      </w:pPr>
      <w:r>
        <w:rPr>
          <w:rFonts w:ascii="Arial" w:cs="Arial" w:eastAsia="Arial" w:hAnsi="Arial"/>
          <w:sz w:val="22"/>
          <w:szCs w:val="22"/>
        </w:rPr>
        <w:t xml:space="preserve">Основными задачами налоговой политики на 2020 год являются:</w:t>
      </w:r>
    </w:p>
    <w:p>
      <w:pPr>
        <w:spacing w:after="60"/>
        <w:ind w:firstLine="567"/>
        <w:jc w:val="both"/>
      </w:pPr>
      <w:r>
        <w:rPr>
          <w:rFonts w:ascii="Arial" w:cs="Arial" w:eastAsia="Arial" w:hAnsi="Arial"/>
          <w:sz w:val="22"/>
          <w:szCs w:val="22"/>
        </w:rPr>
        <w:t xml:space="preserve">1. Дальнейшее совершенствование налогового законодательства, в том числе по:</w:t>
      </w:r>
    </w:p>
    <w:p>
      <w:pPr>
        <w:spacing w:after="60"/>
        <w:ind w:firstLine="567"/>
        <w:jc w:val="both"/>
      </w:pPr>
      <w:r>
        <w:rPr>
          <w:rFonts w:ascii="Arial" w:cs="Arial" w:eastAsia="Arial" w:hAnsi="Arial"/>
          <w:sz w:val="22"/>
          <w:szCs w:val="22"/>
        </w:rPr>
        <w:t xml:space="preserve">- улучшению сбора страховых взносов;</w:t>
      </w:r>
    </w:p>
    <w:p>
      <w:pPr>
        <w:spacing w:after="60"/>
        <w:ind w:firstLine="567"/>
        <w:jc w:val="both"/>
      </w:pPr>
      <w:r>
        <w:rPr>
          <w:rFonts w:ascii="Arial" w:cs="Arial" w:eastAsia="Arial" w:hAnsi="Arial"/>
          <w:sz w:val="22"/>
          <w:szCs w:val="22"/>
        </w:rPr>
        <w:t xml:space="preserve">- улучшению инвестиционного климата;</w:t>
      </w:r>
    </w:p>
    <w:p>
      <w:pPr>
        <w:spacing w:after="60"/>
        <w:ind w:firstLine="567"/>
        <w:jc w:val="both"/>
      </w:pPr>
      <w:r>
        <w:rPr>
          <w:rFonts w:ascii="Arial" w:cs="Arial" w:eastAsia="Arial" w:hAnsi="Arial"/>
          <w:sz w:val="22"/>
          <w:szCs w:val="22"/>
        </w:rPr>
        <w:t xml:space="preserve">- пополнению доходной части бюджета;</w:t>
      </w:r>
    </w:p>
    <w:p>
      <w:pPr>
        <w:spacing w:after="60"/>
        <w:ind w:firstLine="567"/>
        <w:jc w:val="both"/>
      </w:pPr>
      <w:r>
        <w:rPr>
          <w:rFonts w:ascii="Arial" w:cs="Arial" w:eastAsia="Arial" w:hAnsi="Arial"/>
          <w:sz w:val="22"/>
          <w:szCs w:val="22"/>
        </w:rPr>
        <w:t xml:space="preserve">- созданию современных технических решений, введению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2"/>
          <w:szCs w:val="22"/>
        </w:rPr>
        <w:t xml:space="preserve">- созданию национального компонента системы прослеживаемости и оборота товаров;</w:t>
      </w:r>
    </w:p>
    <w:p>
      <w:pPr>
        <w:spacing w:after="60"/>
        <w:ind w:firstLine="567"/>
        <w:jc w:val="both"/>
      </w:pPr>
      <w:r>
        <w:rPr>
          <w:rFonts w:ascii="Arial" w:cs="Arial" w:eastAsia="Arial" w:hAnsi="Arial"/>
          <w:sz w:val="22"/>
          <w:szCs w:val="22"/>
        </w:rPr>
        <w:t xml:space="preserve">- повышению позиции страны в международных рейтингах по показателю "Налогообложение";</w:t>
      </w:r>
    </w:p>
    <w:p>
      <w:pPr>
        <w:spacing w:after="60"/>
        <w:ind w:firstLine="567"/>
        <w:jc w:val="both"/>
      </w:pPr>
      <w:r>
        <w:rPr>
          <w:rFonts w:ascii="Arial" w:cs="Arial" w:eastAsia="Arial" w:hAnsi="Arial"/>
          <w:sz w:val="22"/>
          <w:szCs w:val="22"/>
        </w:rPr>
        <w:t xml:space="preserve">- снижению административных барьеров, а также стимулированию легализации неформального сектора экономики;</w:t>
      </w:r>
    </w:p>
    <w:p>
      <w:pPr>
        <w:spacing w:after="60"/>
        <w:ind w:firstLine="567"/>
        <w:jc w:val="both"/>
      </w:pPr>
      <w:r>
        <w:rPr>
          <w:rFonts w:ascii="Arial" w:cs="Arial" w:eastAsia="Arial" w:hAnsi="Arial"/>
          <w:sz w:val="22"/>
          <w:szCs w:val="22"/>
        </w:rPr>
        <w:t xml:space="preserve">- совершенствованию и автоматизации системы налоговой отчетности;</w:t>
      </w:r>
    </w:p>
    <w:p>
      <w:pPr>
        <w:spacing w:after="60"/>
        <w:ind w:firstLine="567"/>
        <w:jc w:val="both"/>
      </w:pPr>
      <w:r>
        <w:rPr>
          <w:rFonts w:ascii="Arial" w:cs="Arial" w:eastAsia="Arial" w:hAnsi="Arial"/>
          <w:sz w:val="22"/>
          <w:szCs w:val="22"/>
        </w:rPr>
        <w:t xml:space="preserve">- защите добросовестных отечественных производителей и импортеров;</w:t>
      </w:r>
    </w:p>
    <w:p>
      <w:pPr>
        <w:spacing w:after="60"/>
        <w:ind w:firstLine="567"/>
        <w:jc w:val="both"/>
      </w:pPr>
      <w:r>
        <w:rPr>
          <w:rFonts w:ascii="Arial" w:cs="Arial" w:eastAsia="Arial" w:hAnsi="Arial"/>
          <w:sz w:val="22"/>
          <w:szCs w:val="22"/>
        </w:rPr>
        <w:t xml:space="preserve">- освоению новых инструментов налогового администрирования, обеспечивающих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2"/>
          <w:szCs w:val="22"/>
        </w:rPr>
        <w:t xml:space="preserve">- созданию современной системы проверки, учету товарной продукции и ее соответствию заявленным характеристикам в фискальных целях;</w:t>
      </w:r>
    </w:p>
    <w:p>
      <w:pPr>
        <w:spacing w:after="60"/>
        <w:ind w:firstLine="567"/>
        <w:jc w:val="both"/>
      </w:pPr>
      <w:r>
        <w:rPr>
          <w:rFonts w:ascii="Arial" w:cs="Arial" w:eastAsia="Arial" w:hAnsi="Arial"/>
          <w:sz w:val="22"/>
          <w:szCs w:val="22"/>
        </w:rPr>
        <w:t xml:space="preserve">- переходу на электронное взаимодействие в цепи поставок товаров и услуг.</w:t>
      </w:r>
    </w:p>
    <w:p>
      <w:pPr>
        <w:spacing w:after="60"/>
        <w:ind w:firstLine="567"/>
        <w:jc w:val="both"/>
      </w:pPr>
      <w:r>
        <w:rPr>
          <w:rFonts w:ascii="Arial" w:cs="Arial" w:eastAsia="Arial" w:hAnsi="Arial"/>
          <w:sz w:val="22"/>
          <w:szCs w:val="22"/>
        </w:rPr>
        <w:t xml:space="preserve">2. Дальнейшее совершенствование таможенного законодательства, в том числе по вопросам:</w:t>
      </w:r>
    </w:p>
    <w:p>
      <w:pPr>
        <w:spacing w:after="60"/>
        <w:ind w:firstLine="567"/>
        <w:jc w:val="both"/>
      </w:pPr>
      <w:r>
        <w:rPr>
          <w:rFonts w:ascii="Arial" w:cs="Arial" w:eastAsia="Arial" w:hAnsi="Arial"/>
          <w:sz w:val="22"/>
          <w:szCs w:val="22"/>
        </w:rPr>
        <w:t xml:space="preserve">- участия в разработке предложений о внесении изменений в Таможенный кодекс ЕАЭС;</w:t>
      </w:r>
    </w:p>
    <w:p>
      <w:pPr>
        <w:spacing w:after="60"/>
        <w:ind w:firstLine="567"/>
        <w:jc w:val="both"/>
      </w:pPr>
      <w:r>
        <w:rPr>
          <w:rFonts w:ascii="Arial" w:cs="Arial" w:eastAsia="Arial" w:hAnsi="Arial"/>
          <w:sz w:val="22"/>
          <w:szCs w:val="22"/>
        </w:rPr>
        <w:t xml:space="preserve">- упрощения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2"/>
          <w:szCs w:val="22"/>
        </w:rPr>
        <w:t xml:space="preserve">- сокращения времени для совершения таможенных операций путем получения разрешительных и справочно-информационных данных в режиме онлайн;</w:t>
      </w:r>
    </w:p>
    <w:p>
      <w:pPr>
        <w:spacing w:after="60"/>
        <w:ind w:firstLine="567"/>
        <w:jc w:val="both"/>
      </w:pPr>
      <w:r>
        <w:rPr>
          <w:rFonts w:ascii="Arial" w:cs="Arial" w:eastAsia="Arial" w:hAnsi="Arial"/>
          <w:sz w:val="22"/>
          <w:szCs w:val="22"/>
        </w:rPr>
        <w:t xml:space="preserve">- исключения необходимости представления бумажных документов, подтверждающих заявленные в электронной декларации сведения;</w:t>
      </w:r>
    </w:p>
    <w:p>
      <w:pPr>
        <w:spacing w:after="60"/>
        <w:ind w:firstLine="567"/>
        <w:jc w:val="both"/>
      </w:pPr>
      <w:r>
        <w:rPr>
          <w:rFonts w:ascii="Arial" w:cs="Arial" w:eastAsia="Arial" w:hAnsi="Arial"/>
          <w:sz w:val="22"/>
          <w:szCs w:val="22"/>
        </w:rPr>
        <w:t xml:space="preserve">- обеспечения использования электронных форматов разрешительных документов при таможенном оформлении;</w:t>
      </w:r>
    </w:p>
    <w:p>
      <w:pPr>
        <w:spacing w:after="60"/>
        <w:ind w:firstLine="567"/>
        <w:jc w:val="both"/>
      </w:pPr>
      <w:r>
        <w:rPr>
          <w:rFonts w:ascii="Arial" w:cs="Arial" w:eastAsia="Arial" w:hAnsi="Arial"/>
          <w:sz w:val="22"/>
          <w:szCs w:val="22"/>
        </w:rPr>
        <w:t xml:space="preserve">- упрощения прохождения транспортных средств международной перевозки в Кыргызскую Республику через таможенную территорию ЕАЭС, с внедрением механизма оплаты причитающихся платежей по принципу "Один платеж";</w:t>
      </w:r>
    </w:p>
    <w:p>
      <w:pPr>
        <w:spacing w:after="60"/>
        <w:ind w:firstLine="567"/>
        <w:jc w:val="both"/>
      </w:pPr>
      <w:r>
        <w:rPr>
          <w:rFonts w:ascii="Arial" w:cs="Arial" w:eastAsia="Arial" w:hAnsi="Arial"/>
          <w:sz w:val="22"/>
          <w:szCs w:val="22"/>
        </w:rPr>
        <w:t xml:space="preserve">- создания благоприятных условий для участников внешнеэкономической деятельности и транзитной привлекательности страны, социально-экономического развития регионов;</w:t>
      </w:r>
    </w:p>
    <w:p>
      <w:pPr>
        <w:spacing w:after="60"/>
        <w:ind w:firstLine="567"/>
        <w:jc w:val="both"/>
      </w:pPr>
      <w:r>
        <w:rPr>
          <w:rFonts w:ascii="Arial" w:cs="Arial" w:eastAsia="Arial" w:hAnsi="Arial"/>
          <w:sz w:val="22"/>
          <w:szCs w:val="22"/>
        </w:rPr>
        <w:t xml:space="preserve">- уменьшения количества документов, требуемых для таможенных целей, при перемещении товаров через внешние границы ЕАЭС на кыргызском участке (до 4 документов - к 2025 году);</w:t>
      </w:r>
    </w:p>
    <w:p>
      <w:pPr>
        <w:spacing w:after="60"/>
        <w:ind w:firstLine="567"/>
        <w:jc w:val="both"/>
      </w:pPr>
      <w:r>
        <w:rPr>
          <w:rFonts w:ascii="Arial" w:cs="Arial" w:eastAsia="Arial" w:hAnsi="Arial"/>
          <w:sz w:val="22"/>
          <w:szCs w:val="22"/>
        </w:rPr>
        <w:t xml:space="preserve">- ускорения процесса совершения таможенных операций посредством применения системы управления рисками и автоматизации (цифровизации) таможенных процессов, а также развития электронного межведомственного взаимодействия (безбумажное декларирование);</w:t>
      </w:r>
    </w:p>
    <w:p>
      <w:pPr>
        <w:spacing w:after="60"/>
        <w:ind w:firstLine="567"/>
        <w:jc w:val="both"/>
      </w:pPr>
      <w:r>
        <w:rPr>
          <w:rFonts w:ascii="Arial" w:cs="Arial" w:eastAsia="Arial" w:hAnsi="Arial"/>
          <w:sz w:val="22"/>
          <w:szCs w:val="22"/>
        </w:rPr>
        <w:t xml:space="preserve">- развития эффективной системы таможенного администрирования на основе анализа внешнеэкономических показателей, направленных на обеспечение экономической безопасности;</w:t>
      </w:r>
    </w:p>
    <w:p>
      <w:pPr>
        <w:spacing w:after="60"/>
        <w:ind w:firstLine="567"/>
        <w:jc w:val="both"/>
      </w:pPr>
      <w:r>
        <w:rPr>
          <w:rFonts w:ascii="Arial" w:cs="Arial" w:eastAsia="Arial" w:hAnsi="Arial"/>
          <w:sz w:val="22"/>
          <w:szCs w:val="22"/>
        </w:rPr>
        <w:t xml:space="preserve">- дальнейшего развития электронного таможенного декларирования и системы автоматического выпуска товаров, автоматизации первичного весогабаритного контроля в пунктах пропуска, интеграции системы таможенной службы с системами коммерческих банков для подтверждения уплаты таможенных платежей в режиме онлайн, а также обеспечения достоверности и полноты сведений в первичной документации;</w:t>
      </w:r>
    </w:p>
    <w:p>
      <w:pPr>
        <w:spacing w:after="60"/>
        <w:ind w:firstLine="567"/>
        <w:jc w:val="both"/>
      </w:pPr>
      <w:r>
        <w:rPr>
          <w:rFonts w:ascii="Arial" w:cs="Arial" w:eastAsia="Arial" w:hAnsi="Arial"/>
          <w:sz w:val="22"/>
          <w:szCs w:val="22"/>
        </w:rPr>
        <w:t xml:space="preserve">- внедрения единой автоматизированной системы контролирующих органов в пункте пропуска по принципу "Одна остановка", внедрения и развития механизмов приоритетного прохождения через таможенную границу при международном транзите и перевозке сельскохозяйственной продукции, внедрения электронной системы контроля отслеживания и доставки товаров и транспортных средств до таможенного органа назначения, а также автоматизации таможенного досмотра;</w:t>
      </w:r>
    </w:p>
    <w:p>
      <w:pPr>
        <w:spacing w:after="60"/>
        <w:ind w:firstLine="567"/>
        <w:jc w:val="both"/>
      </w:pPr>
      <w:r>
        <w:rPr>
          <w:rFonts w:ascii="Arial" w:cs="Arial" w:eastAsia="Arial" w:hAnsi="Arial"/>
          <w:sz w:val="22"/>
          <w:szCs w:val="22"/>
        </w:rPr>
        <w:t xml:space="preserve">- увеличения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на бумажных носителях (до 100% - к 2025 году).</w:t>
      </w:r>
    </w:p>
    <w:p>
      <w:pPr>
        <w:spacing w:after="60" w:before="200"/>
        <w:ind w:firstLine="567"/>
        <w:jc w:val="both"/>
      </w:pPr>
      <w:r>
        <w:rPr>
          <w:rFonts w:ascii="Arial" w:cs="Arial" w:eastAsia="Arial" w:hAnsi="Arial"/>
          <w:b/>
          <w:bCs/>
          <w:sz w:val="22"/>
          <w:szCs w:val="22"/>
        </w:rPr>
        <w:t xml:space="preserve">Ожидаемый прогноз налоговой политики на 2021-2023 годы</w:t>
      </w:r>
    </w:p>
    <w:p>
      <w:pPr>
        <w:spacing w:after="60"/>
        <w:ind w:firstLine="567"/>
        <w:jc w:val="both"/>
      </w:pPr>
      <w:r>
        <w:rPr>
          <w:rFonts w:ascii="Arial" w:cs="Arial" w:eastAsia="Arial" w:hAnsi="Arial"/>
          <w:sz w:val="22"/>
          <w:szCs w:val="22"/>
        </w:rPr>
        <w:t xml:space="preserve">Налоговая политика будет направлена на:</w:t>
      </w:r>
    </w:p>
    <w:p>
      <w:pPr>
        <w:spacing w:after="60"/>
        <w:ind w:firstLine="567"/>
        <w:jc w:val="both"/>
      </w:pPr>
      <w:r>
        <w:rPr>
          <w:rFonts w:ascii="Arial" w:cs="Arial" w:eastAsia="Arial" w:hAnsi="Arial"/>
          <w:sz w:val="22"/>
          <w:szCs w:val="22"/>
        </w:rPr>
        <w:t xml:space="preserve">- упрощение механизмов и процедур. Полная автоматизация (фискализация) налоговых и таможенных процедур. Завершение процедур передачи функций по администрированию страховых взносов от Социального фонда в Налоговую службу, включая отчетность и проверки;</w:t>
      </w:r>
    </w:p>
    <w:p>
      <w:pPr>
        <w:spacing w:after="60"/>
        <w:ind w:firstLine="567"/>
        <w:jc w:val="both"/>
      </w:pPr>
      <w:r>
        <w:rPr>
          <w:rFonts w:ascii="Arial" w:cs="Arial" w:eastAsia="Arial" w:hAnsi="Arial"/>
          <w:sz w:val="22"/>
          <w:szCs w:val="22"/>
        </w:rPr>
        <w:t xml:space="preserve">- справедливую налоговую нагрузку. Оценка и отмена неэффективных налоговых льгот. Снижение совокупной налоговой нагрузки, путем сокращения количества налогов и снижения ставок, включая социальные отчисления;</w:t>
      </w:r>
    </w:p>
    <w:p>
      <w:pPr>
        <w:spacing w:after="60"/>
        <w:ind w:firstLine="567"/>
        <w:jc w:val="both"/>
      </w:pPr>
      <w:r>
        <w:rPr>
          <w:rFonts w:ascii="Arial" w:cs="Arial" w:eastAsia="Arial" w:hAnsi="Arial"/>
          <w:sz w:val="22"/>
          <w:szCs w:val="22"/>
        </w:rPr>
        <w:t xml:space="preserve">- стабильность. Прозрачные и устойчивые правила налогообложения. Закрепление норм в Налоговом кодексе Кыргызской Республики, жестко ограничивающих и усложняющих изменение налогового законодательства;</w:t>
      </w:r>
    </w:p>
    <w:p>
      <w:pPr>
        <w:spacing w:after="60"/>
        <w:ind w:firstLine="567"/>
        <w:jc w:val="both"/>
      </w:pPr>
      <w:r>
        <w:rPr>
          <w:rFonts w:ascii="Arial" w:cs="Arial" w:eastAsia="Arial" w:hAnsi="Arial"/>
          <w:sz w:val="22"/>
          <w:szCs w:val="22"/>
        </w:rPr>
        <w:t xml:space="preserve">- справедливые и доступные механизмы разрешения налоговых споров. Внедрение альтернативных механизмов: третейские суды, медиация, переговоры;</w:t>
      </w:r>
    </w:p>
    <w:p>
      <w:pPr>
        <w:spacing w:after="60"/>
        <w:ind w:firstLine="567"/>
        <w:jc w:val="both"/>
      </w:pPr>
      <w:r>
        <w:rPr>
          <w:rFonts w:ascii="Arial" w:cs="Arial" w:eastAsia="Arial" w:hAnsi="Arial"/>
          <w:sz w:val="22"/>
          <w:szCs w:val="22"/>
        </w:rPr>
        <w:t xml:space="preserve">- легализацию капитала. Проведение амнистии (легализации), направленной на вывод из теневой экономики имущества и доходов физических лиц.</w:t>
      </w:r>
    </w:p>
    <w:p>
      <w:pPr>
        <w:spacing w:after="60"/>
        <w:ind w:firstLine="567"/>
        <w:jc w:val="both"/>
      </w:pPr>
      <w:r>
        <w:rPr>
          <w:rFonts w:ascii="Arial" w:cs="Arial" w:eastAsia="Arial" w:hAnsi="Arial"/>
          <w:sz w:val="22"/>
          <w:szCs w:val="22"/>
        </w:rPr>
        <w:t xml:space="preserve">В среднесрочной перспективе доходы государственного бюджета прогнозируются с ростом с 182,6 млрд. сомов в 2021 году до 193,1 млрд. сомов - в 2023 году. Доля доходов в ВВП в 2021 году составит 28,8% и снизится к 2023 году до 26,7%, что будет обусловлено снижением уровня налоговых доходов на 0,6% ВВП, неналоговых доходов - на 0,4% ВВП и полученных официальных трансфертов (программные гранты и гранты государственных инвестиций) - на 1,0% к ВВП.</w:t>
      </w:r>
    </w:p>
    <w:p>
      <w:pPr>
        <w:spacing w:after="60"/>
        <w:ind w:firstLine="567"/>
        <w:jc w:val="both"/>
      </w:pPr>
      <w:r>
        <w:rPr>
          <w:rFonts w:ascii="Arial" w:cs="Arial" w:eastAsia="Arial" w:hAnsi="Arial"/>
          <w:sz w:val="22"/>
          <w:szCs w:val="22"/>
        </w:rPr>
        <w:t xml:space="preserve">Налоговые доходы увеличатся с 142,2 млрд. сомов в 2021 году до 157,8 млрд. сомов - в 2023 году. По отношению к ВВП налоговые доходы в среднесрочном периоде снизятся с 22,4% ВВП в 2021 году до 21,8% ВВП - в 2023 году. Удельный вес их в общей сумме доходов бюджета увеличится с 77,9% в 2021 году до 81,7% - в 2023 году.</w:t>
      </w:r>
    </w:p>
    <w:p>
      <w:pPr>
        <w:spacing w:after="60"/>
        <w:ind w:firstLine="567"/>
        <w:jc w:val="both"/>
      </w:pPr>
      <w:r>
        <w:rPr>
          <w:rFonts w:ascii="Arial" w:cs="Arial" w:eastAsia="Arial" w:hAnsi="Arial"/>
          <w:sz w:val="22"/>
          <w:szCs w:val="22"/>
        </w:rPr>
        <w:t xml:space="preserve">Поступления неналоговых доходов в период 2021-2023 годов составят в среднем 27,8 млрд. сомов. В объеме ВВП уровень неналоговых доходов снизится с 4,3% в 2021 году до 3,9% в - 2023 году.</w:t>
      </w:r>
    </w:p>
    <w:p>
      <w:pPr>
        <w:spacing w:after="60"/>
        <w:ind w:firstLine="567"/>
        <w:jc w:val="both"/>
      </w:pPr>
      <w:r>
        <w:rPr>
          <w:rFonts w:ascii="Arial" w:cs="Arial" w:eastAsia="Arial" w:hAnsi="Arial"/>
          <w:sz w:val="22"/>
          <w:szCs w:val="22"/>
        </w:rPr>
        <w:t xml:space="preserve">Поступления официальных трансфертов (программные гранты и гранты государственных инвестиций) в среднесрочном периоде прогнозируются со снижением с 13,1 млрд. сомов в 2021 году до 7,4 млрд. сомов - в 2023 году. Доля официальных трансфертов в ВВП в 2023 году по отношению к 2021 году снизится на 1,0% ВВП, что будет связано со снижением поступлений, как грантов государственных инвестиций, так и программных грантов.</w:t>
      </w:r>
    </w:p>
    <w:p>
      <w:pPr>
        <w:spacing w:after="60"/>
        <w:ind w:firstLine="567"/>
        <w:jc w:val="both"/>
      </w:pPr>
      <w:r>
        <w:rPr>
          <w:rFonts w:ascii="Arial" w:cs="Arial" w:eastAsia="Arial" w:hAnsi="Arial"/>
          <w:sz w:val="22"/>
          <w:szCs w:val="22"/>
        </w:rPr>
        <w:t xml:space="preserve">Риски по исполнению прогнозных показателей в 2021 году:</w:t>
      </w:r>
    </w:p>
    <w:p>
      <w:pPr>
        <w:spacing w:after="60"/>
        <w:ind w:firstLine="567"/>
        <w:jc w:val="both"/>
      </w:pPr>
      <w:r>
        <w:rPr>
          <w:rFonts w:ascii="Arial" w:cs="Arial" w:eastAsia="Arial" w:hAnsi="Arial"/>
          <w:sz w:val="22"/>
          <w:szCs w:val="22"/>
        </w:rPr>
        <w:t xml:space="preserve">- снижение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предприятия, а также закрытия предприятия для организации переоборудования на соответствие стандартам ЕАЭС;</w:t>
      </w:r>
    </w:p>
    <w:p>
      <w:pPr>
        <w:spacing w:after="60"/>
        <w:ind w:firstLine="567"/>
        <w:jc w:val="both"/>
      </w:pPr>
      <w:r>
        <w:rPr>
          <w:rFonts w:ascii="Arial" w:cs="Arial" w:eastAsia="Arial" w:hAnsi="Arial"/>
          <w:sz w:val="22"/>
          <w:szCs w:val="22"/>
        </w:rPr>
        <w:t xml:space="preserve">- возможный несвоевременный ввод запланированных месторождений (Джеруй, Макмал, Чаарат и др.);</w:t>
      </w:r>
    </w:p>
    <w:p>
      <w:pPr>
        <w:spacing w:after="60"/>
        <w:ind w:firstLine="567"/>
        <w:jc w:val="both"/>
      </w:pPr>
      <w:r>
        <w:rPr>
          <w:rFonts w:ascii="Arial" w:cs="Arial" w:eastAsia="Arial" w:hAnsi="Arial"/>
          <w:sz w:val="22"/>
          <w:szCs w:val="22"/>
        </w:rPr>
        <w:t xml:space="preserve">- невыполнение ожидаемых объемов добычи на руднике Кумтор и сокращение производства на руднике Кумтор из-за техногенных факторов;</w:t>
      </w:r>
    </w:p>
    <w:p>
      <w:pPr>
        <w:spacing w:after="60"/>
        <w:ind w:firstLine="567"/>
        <w:jc w:val="both"/>
      </w:pPr>
      <w:r>
        <w:rPr>
          <w:rFonts w:ascii="Arial" w:cs="Arial" w:eastAsia="Arial" w:hAnsi="Arial"/>
          <w:sz w:val="22"/>
          <w:szCs w:val="22"/>
        </w:rPr>
        <w:t xml:space="preserve">- снижение цены золота на мировых рынках;</w:t>
      </w:r>
    </w:p>
    <w:p>
      <w:pPr>
        <w:spacing w:after="60"/>
        <w:ind w:firstLine="567"/>
        <w:jc w:val="both"/>
      </w:pPr>
      <w:r>
        <w:rPr>
          <w:rFonts w:ascii="Arial" w:cs="Arial" w:eastAsia="Arial" w:hAnsi="Arial"/>
          <w:sz w:val="22"/>
          <w:szCs w:val="22"/>
        </w:rPr>
        <w:t xml:space="preserve">-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60"/>
        <w:ind w:firstLine="567"/>
        <w:jc w:val="both"/>
      </w:pPr>
      <w:r>
        <w:rPr>
          <w:rFonts w:ascii="Arial" w:cs="Arial" w:eastAsia="Arial" w:hAnsi="Arial"/>
          <w:sz w:val="22"/>
          <w:szCs w:val="22"/>
        </w:rPr>
        <w:t xml:space="preserve">- риск недопоступления доходов бюджета в случае сохранения эпидемиологической ситуации в республике, вызванной пандемией коронавирусной инфекции COVID-19.</w:t>
      </w:r>
    </w:p>
    <w:p>
      <w:pPr>
        <w:spacing w:after="60"/>
        <w:ind w:firstLine="567"/>
        <w:jc w:val="both"/>
      </w:pPr>
      <w:r>
        <w:rPr>
          <w:rFonts w:ascii="Arial" w:cs="Arial" w:eastAsia="Arial" w:hAnsi="Arial"/>
          <w:sz w:val="22"/>
          <w:szCs w:val="22"/>
        </w:rPr>
        <w:t xml:space="preserve">За IV квартал 2019 года и I квартал 2020 года проведена инвентаризация нормативной правовой базы фискального законодательства по совершенствованию администрирования налогов.</w:t>
      </w:r>
    </w:p>
    <w:p>
      <w:pPr>
        <w:spacing w:after="60"/>
        <w:ind w:firstLine="567"/>
        <w:jc w:val="both"/>
      </w:pPr>
      <w:r>
        <w:rPr>
          <w:rFonts w:ascii="Arial" w:cs="Arial" w:eastAsia="Arial" w:hAnsi="Arial"/>
          <w:sz w:val="22"/>
          <w:szCs w:val="22"/>
        </w:rPr>
        <w:t xml:space="preserve">В принятых нормативных правовых актах и в налоговом законодательстве Кыргызской Республики за указанный период налоговые и таможенные льготы не представлены, а направлены на совершенствование администрирования налогов, что окажет нейтральное влияние на доходную часть бюджета.</w:t>
      </w:r>
    </w:p>
    <w:p>
      <w:pPr>
        <w:spacing w:after="60"/>
        <w:ind w:firstLine="567"/>
        <w:jc w:val="both"/>
      </w:pPr>
      <w:r>
        <w:rPr>
          <w:rFonts w:ascii="Arial" w:cs="Arial" w:eastAsia="Arial" w:hAnsi="Arial"/>
          <w:sz w:val="22"/>
          <w:szCs w:val="22"/>
        </w:rPr>
        <w:t xml:space="preserve">При этом, по расчетам, проведенным Министерством экономики Кыргызской Республики совместно с налоговой и таможенными службами, налоговые льготы и освобождения, предусмотренные действующим налоговым законодательством, оценочно составили:</w:t>
      </w:r>
    </w:p>
    <w:p>
      <w:pPr>
        <w:spacing w:after="60"/>
        <w:ind w:firstLine="567"/>
        <w:jc w:val="both"/>
      </w:pPr>
      <w:r>
        <w:rPr>
          <w:rFonts w:ascii="Arial" w:cs="Arial" w:eastAsia="Arial" w:hAnsi="Arial"/>
          <w:sz w:val="22"/>
          <w:szCs w:val="22"/>
        </w:rPr>
        <w:t xml:space="preserve">- в 2016 году - 22,6 млрд. сомов или 4,7% к ВВП;</w:t>
      </w:r>
    </w:p>
    <w:p>
      <w:pPr>
        <w:spacing w:after="60"/>
        <w:ind w:firstLine="567"/>
        <w:jc w:val="both"/>
      </w:pPr>
      <w:r>
        <w:rPr>
          <w:rFonts w:ascii="Arial" w:cs="Arial" w:eastAsia="Arial" w:hAnsi="Arial"/>
          <w:sz w:val="22"/>
          <w:szCs w:val="22"/>
        </w:rPr>
        <w:t xml:space="preserve">- в 2017 году - 24,6 млрд. сомов или 4,6% к ВВП;</w:t>
      </w:r>
    </w:p>
    <w:p>
      <w:pPr>
        <w:spacing w:after="60"/>
        <w:ind w:firstLine="567"/>
        <w:jc w:val="both"/>
      </w:pPr>
      <w:r>
        <w:rPr>
          <w:rFonts w:ascii="Arial" w:cs="Arial" w:eastAsia="Arial" w:hAnsi="Arial"/>
          <w:sz w:val="22"/>
          <w:szCs w:val="22"/>
        </w:rPr>
        <w:t xml:space="preserve">- в 2018 году - 25,1 млрд. сомов или 4,5% к ВВП.</w:t>
      </w:r>
    </w:p>
    <w:p>
      <w:pPr>
        <w:spacing w:after="200" w:before="200"/>
        <w:jc w:val="center"/>
      </w:pPr>
      <w:r>
        <w:rPr>
          <w:rFonts w:ascii="Arial" w:cs="Arial" w:eastAsia="Arial" w:hAnsi="Arial"/>
          <w:b/>
          <w:bCs/>
          <w:sz w:val="22"/>
          <w:szCs w:val="22"/>
        </w:rPr>
        <w:t xml:space="preserve">3. Описание среднесрочной основы расходов</w:t>
      </w:r>
    </w:p>
    <w:p>
      <w:pPr>
        <w:spacing w:after="200" w:before="200"/>
        <w:jc w:val="center"/>
      </w:pPr>
      <w:r>
        <w:rPr>
          <w:rFonts w:ascii="Arial" w:cs="Arial" w:eastAsia="Arial" w:hAnsi="Arial"/>
          <w:b/>
          <w:bCs/>
          <w:sz w:val="22"/>
          <w:szCs w:val="22"/>
        </w:rPr>
        <w:t xml:space="preserve">3.1. Анализ отклонений фактических расходов государственных органов, профинансированных из республиканского бюджета в 2019 году, от контрольных цифр в Основных направлениях фискальной политики Кыргызской Республики на 2019-2021 годы</w:t>
      </w:r>
    </w:p>
    <w:p>
      <w:pPr>
        <w:spacing w:after="60"/>
        <w:ind w:firstLine="567"/>
        <w:jc w:val="both"/>
      </w:pPr>
      <w:r>
        <w:rPr>
          <w:rFonts w:ascii="Arial" w:cs="Arial" w:eastAsia="Arial" w:hAnsi="Arial"/>
          <w:sz w:val="22"/>
          <w:szCs w:val="22"/>
        </w:rPr>
        <w:t xml:space="preserve">В таблицах 7-10 (приложение 2) приводятся данные по отклонениям прогнозных показателей за 2020 и 2021 годы в Основных направлениях фискальной политики Кыргызской Республики на 2019-2021 годы (далее - ОНФП) и ОНФП на 2020-2022 годы. Данное сравнение может показать изменения в прогнозировании показателей в двух последних документах.</w:t>
      </w:r>
    </w:p>
    <w:p>
      <w:pPr>
        <w:spacing w:after="60"/>
        <w:ind w:firstLine="567"/>
        <w:jc w:val="both"/>
      </w:pPr>
      <w:r>
        <w:rPr>
          <w:rFonts w:ascii="Arial" w:cs="Arial" w:eastAsia="Arial" w:hAnsi="Arial"/>
          <w:sz w:val="22"/>
          <w:szCs w:val="22"/>
        </w:rPr>
        <w:t xml:space="preserve">Как видно из таблицы 7, прогноз номинального ВВП на 2020 год совпал в двух документах, а прогноз на 2021 год уменьшился на 3,8 процентных пункта в ОНФП на 2020-2022 годы, по сравнению с ОНФП на 2019-2021 годы, что связано с замедлением экономического роста.</w:t>
      </w:r>
    </w:p>
    <w:p>
      <w:pPr>
        <w:spacing w:after="60"/>
        <w:ind w:firstLine="567"/>
        <w:jc w:val="both"/>
      </w:pPr>
      <w:r>
        <w:rPr>
          <w:rFonts w:ascii="Arial" w:cs="Arial" w:eastAsia="Arial" w:hAnsi="Arial"/>
          <w:sz w:val="22"/>
          <w:szCs w:val="22"/>
        </w:rPr>
        <w:t xml:space="preserve">Показатели по доходам государственного бюджета в 2020-2021 годах прогнозируются с увеличением на 5,2-5,9 процента к ВВП в указанных документах, как видно из таблицы 9.</w:t>
      </w:r>
    </w:p>
    <w:p>
      <w:pPr>
        <w:spacing w:after="60"/>
        <w:ind w:firstLine="567"/>
        <w:jc w:val="both"/>
      </w:pPr>
      <w:r>
        <w:rPr>
          <w:rFonts w:ascii="Arial" w:cs="Arial" w:eastAsia="Arial" w:hAnsi="Arial"/>
          <w:sz w:val="22"/>
          <w:szCs w:val="22"/>
        </w:rPr>
        <w:t xml:space="preserve">Наибольшие отклонения в 2019 году отмечались в следующих административных ведомствах:</w:t>
      </w:r>
    </w:p>
    <w:p>
      <w:pPr>
        <w:spacing w:after="60"/>
        <w:ind w:firstLine="567"/>
        <w:jc w:val="both"/>
      </w:pPr>
      <w:r>
        <w:rPr>
          <w:rFonts w:ascii="Arial" w:cs="Arial" w:eastAsia="Arial" w:hAnsi="Arial"/>
          <w:b/>
          <w:bCs/>
          <w:sz w:val="22"/>
          <w:szCs w:val="22"/>
        </w:rPr>
        <w:t xml:space="preserve">Верховный суд Кыргызской Республики (аппарат)</w:t>
      </w:r>
      <w:r>
        <w:rPr>
          <w:rFonts w:ascii="Arial" w:cs="Arial" w:eastAsia="Arial" w:hAnsi="Arial"/>
          <w:sz w:val="22"/>
          <w:szCs w:val="22"/>
        </w:rPr>
        <w:t xml:space="preserve"> - уменьшение (на 9,2%) связано с:</w:t>
      </w:r>
    </w:p>
    <w:p>
      <w:pPr>
        <w:spacing w:after="60"/>
        <w:ind w:firstLine="567"/>
        <w:jc w:val="both"/>
      </w:pPr>
      <w:r>
        <w:rPr>
          <w:rFonts w:ascii="Arial" w:cs="Arial" w:eastAsia="Arial" w:hAnsi="Arial"/>
          <w:sz w:val="22"/>
          <w:szCs w:val="22"/>
        </w:rPr>
        <w:t xml:space="preserve">- возвратом или экономией 2104,2 тыс. сомов по статье "Заработная плата" и 577,1 тыс. сомов по статье 212 "Отчисление в Социальный фонд" за счет вакантных должностей судей и работников аппарата;</w:t>
      </w:r>
    </w:p>
    <w:p>
      <w:pPr>
        <w:spacing w:after="60"/>
        <w:ind w:firstLine="567"/>
        <w:jc w:val="both"/>
      </w:pPr>
      <w:r>
        <w:rPr>
          <w:rFonts w:ascii="Arial" w:cs="Arial" w:eastAsia="Arial" w:hAnsi="Arial"/>
          <w:sz w:val="22"/>
          <w:szCs w:val="22"/>
        </w:rPr>
        <w:t xml:space="preserve">- возвратом или экономией 1670,5 тыс. сомов по статье "Приобретение прочих товаров и услуг", 804,4 тыс. сомов по статье "Приобретение предметов и материалов для текущих хозяйственных целей", 377,0 тыс. сомов по статье "Коммунальные услуги", 8087,4 тыс. сомов по статье 311 "Основные фонды", в связи с несвоевременным освобождением Центральной комиссией по выборам и проведению референдумов Кыргызской Республики здания по адресу ул.Раззакова 59, переданного в оперативное управление Верховному суду Кыргызской Республики согласно приказу Фонда по управлению государственным имуществом при Правительстве Кыргызской Республики от 7 декабря 2017 года № 594-п.</w:t>
      </w:r>
    </w:p>
    <w:p>
      <w:pPr>
        <w:spacing w:after="60"/>
        <w:ind w:firstLine="567"/>
        <w:jc w:val="both"/>
      </w:pPr>
      <w:r>
        <w:rPr>
          <w:rFonts w:ascii="Arial" w:cs="Arial" w:eastAsia="Arial" w:hAnsi="Arial"/>
          <w:b/>
          <w:bCs/>
          <w:sz w:val="22"/>
          <w:szCs w:val="22"/>
        </w:rPr>
        <w:t xml:space="preserve">Конституционная палата Верховного суда Кыргызской Республики (аппарат)</w:t>
      </w:r>
      <w:r>
        <w:rPr>
          <w:rFonts w:ascii="Arial" w:cs="Arial" w:eastAsia="Arial" w:hAnsi="Arial"/>
          <w:sz w:val="22"/>
          <w:szCs w:val="22"/>
        </w:rPr>
        <w:t xml:space="preserve"> - уменьшение (на 9,4%) связано с:</w:t>
      </w:r>
    </w:p>
    <w:p>
      <w:pPr>
        <w:spacing w:after="60"/>
        <w:ind w:firstLine="567"/>
        <w:jc w:val="both"/>
      </w:pPr>
      <w:r>
        <w:rPr>
          <w:rFonts w:ascii="Arial" w:cs="Arial" w:eastAsia="Arial" w:hAnsi="Arial"/>
          <w:sz w:val="22"/>
          <w:szCs w:val="22"/>
        </w:rPr>
        <w:t xml:space="preserve">- передачей расходов государственному учреждению "Автотранспортное предприятие Управления делами Президента и Правительства Кыргызской Республики" для оплаты труда водителей в количестве трех штатных единиц;</w:t>
      </w:r>
    </w:p>
    <w:p>
      <w:pPr>
        <w:spacing w:after="60"/>
        <w:ind w:firstLine="567"/>
        <w:jc w:val="both"/>
      </w:pPr>
      <w:r>
        <w:rPr>
          <w:rFonts w:ascii="Arial" w:cs="Arial" w:eastAsia="Arial" w:hAnsi="Arial"/>
          <w:sz w:val="22"/>
          <w:szCs w:val="22"/>
        </w:rPr>
        <w:t xml:space="preserve">- зачетом сверхнормативных запасов товарно-материальных ценностей на сумму 0,3 млн. сомов.</w:t>
      </w:r>
    </w:p>
    <w:p>
      <w:pPr>
        <w:spacing w:after="60"/>
        <w:ind w:firstLine="567"/>
        <w:jc w:val="both"/>
      </w:pPr>
      <w:r>
        <w:rPr>
          <w:rFonts w:ascii="Arial" w:cs="Arial" w:eastAsia="Arial" w:hAnsi="Arial"/>
          <w:sz w:val="22"/>
          <w:szCs w:val="22"/>
        </w:rPr>
        <w:t xml:space="preserve">Также экономия средств образовалась по следующим статьям:</w:t>
      </w:r>
    </w:p>
    <w:p>
      <w:pPr>
        <w:spacing w:after="60"/>
        <w:ind w:firstLine="567"/>
        <w:jc w:val="both"/>
      </w:pPr>
      <w:r>
        <w:rPr>
          <w:rFonts w:ascii="Arial" w:cs="Arial" w:eastAsia="Arial" w:hAnsi="Arial"/>
          <w:sz w:val="22"/>
          <w:szCs w:val="22"/>
        </w:rPr>
        <w:t xml:space="preserve">- по статье "Приобретение прочих товаров и услуг" - экономия по тендерам, экономия за междугородние и международные переговоры;</w:t>
      </w:r>
    </w:p>
    <w:p>
      <w:pPr>
        <w:spacing w:after="60"/>
        <w:ind w:firstLine="567"/>
        <w:jc w:val="both"/>
      </w:pPr>
      <w:r>
        <w:rPr>
          <w:rFonts w:ascii="Arial" w:cs="Arial" w:eastAsia="Arial" w:hAnsi="Arial"/>
          <w:sz w:val="22"/>
          <w:szCs w:val="22"/>
        </w:rPr>
        <w:t xml:space="preserve">- по статье "Приобретение предметов и материалов для текущих хозяйственных целей" - не состоялся тендер на выполнение ремонта здания.</w:t>
      </w:r>
    </w:p>
    <w:p>
      <w:pPr>
        <w:spacing w:after="60"/>
        <w:ind w:firstLine="567"/>
        <w:jc w:val="both"/>
      </w:pPr>
      <w:r>
        <w:rPr>
          <w:rFonts w:ascii="Arial" w:cs="Arial" w:eastAsia="Arial" w:hAnsi="Arial"/>
          <w:sz w:val="22"/>
          <w:szCs w:val="22"/>
        </w:rPr>
        <w:t xml:space="preserve">Также в 2019 году на статьи по заработной плате и отчислениям в Социальный фонд Кыргызской Республики (далее - Соцфонд) были заложены средства для проведения международных конференций, однако проведение конференций было профинансировано со стороны доноров, в связи с чем остатки возращены в доход бюджета;</w:t>
      </w:r>
    </w:p>
    <w:p>
      <w:pPr>
        <w:spacing w:after="60"/>
        <w:ind w:firstLine="567"/>
        <w:jc w:val="both"/>
      </w:pPr>
      <w:r>
        <w:rPr>
          <w:rFonts w:ascii="Arial" w:cs="Arial" w:eastAsia="Arial" w:hAnsi="Arial"/>
          <w:sz w:val="22"/>
          <w:szCs w:val="22"/>
        </w:rPr>
        <w:t xml:space="preserve">- по статье "Гранты международным организациям" образовалась курсовая разница.</w:t>
      </w:r>
    </w:p>
    <w:p>
      <w:pPr>
        <w:spacing w:after="60"/>
        <w:ind w:firstLine="567"/>
        <w:jc w:val="both"/>
      </w:pPr>
      <w:r>
        <w:rPr>
          <w:rFonts w:ascii="Arial" w:cs="Arial" w:eastAsia="Arial" w:hAnsi="Arial"/>
          <w:b/>
          <w:bCs/>
          <w:sz w:val="22"/>
          <w:szCs w:val="22"/>
        </w:rPr>
        <w:t xml:space="preserve">Судебный департамент при Верховном суде Кыргызской Республики</w:t>
      </w:r>
      <w:r>
        <w:rPr>
          <w:rFonts w:ascii="Arial" w:cs="Arial" w:eastAsia="Arial" w:hAnsi="Arial"/>
          <w:sz w:val="22"/>
          <w:szCs w:val="22"/>
        </w:rPr>
        <w:t xml:space="preserve"> - уменьшение (на 40,5%), связано с:</w:t>
      </w:r>
    </w:p>
    <w:p>
      <w:pPr>
        <w:spacing w:after="60"/>
        <w:ind w:firstLine="567"/>
        <w:jc w:val="both"/>
      </w:pPr>
      <w:r>
        <w:rPr>
          <w:rFonts w:ascii="Arial" w:cs="Arial" w:eastAsia="Arial" w:hAnsi="Arial"/>
          <w:sz w:val="22"/>
          <w:szCs w:val="22"/>
        </w:rPr>
        <w:t xml:space="preserve">- уменьшением расходов на основании актов Счетной палаты Кыргызской Республики в связи с зачетом сверхнормативных запасов товарно-материальных ценностей и дебиторской задолженности за 2017-2018 годы в сумме 49,7 млн. сомов;</w:t>
      </w:r>
    </w:p>
    <w:p>
      <w:pPr>
        <w:spacing w:after="60"/>
        <w:ind w:firstLine="567"/>
        <w:jc w:val="both"/>
      </w:pPr>
      <w:r>
        <w:rPr>
          <w:rFonts w:ascii="Arial" w:cs="Arial" w:eastAsia="Arial" w:hAnsi="Arial"/>
          <w:sz w:val="22"/>
          <w:szCs w:val="22"/>
        </w:rPr>
        <w:t xml:space="preserve">- результатами анализа фактического исполнения бюджета Судебного департамента при Верховном суде Кыргызской Республики в сумме 44,4 млн. сомов.</w:t>
      </w:r>
    </w:p>
    <w:p>
      <w:pPr>
        <w:spacing w:after="60"/>
        <w:ind w:firstLine="567"/>
        <w:jc w:val="both"/>
      </w:pPr>
      <w:r>
        <w:rPr>
          <w:rFonts w:ascii="Arial" w:cs="Arial" w:eastAsia="Arial" w:hAnsi="Arial"/>
          <w:sz w:val="22"/>
          <w:szCs w:val="22"/>
        </w:rPr>
        <w:t xml:space="preserve">Также экономия средств образовалась по следующим статьям:</w:t>
      </w:r>
    </w:p>
    <w:p>
      <w:pPr>
        <w:spacing w:after="60"/>
        <w:ind w:firstLine="567"/>
        <w:jc w:val="both"/>
      </w:pPr>
      <w:r>
        <w:rPr>
          <w:rFonts w:ascii="Arial" w:cs="Arial" w:eastAsia="Arial" w:hAnsi="Arial"/>
          <w:sz w:val="22"/>
          <w:szCs w:val="22"/>
        </w:rPr>
        <w:t xml:space="preserve">- по статьям "Заработная плата" и "Отчисление в Социальный фонд" - экономия за счет вакантных мест;</w:t>
      </w:r>
    </w:p>
    <w:p>
      <w:pPr>
        <w:spacing w:after="60"/>
        <w:ind w:firstLine="567"/>
        <w:jc w:val="both"/>
      </w:pPr>
      <w:r>
        <w:rPr>
          <w:rFonts w:ascii="Arial" w:cs="Arial" w:eastAsia="Arial" w:hAnsi="Arial"/>
          <w:sz w:val="22"/>
          <w:szCs w:val="22"/>
        </w:rPr>
        <w:t xml:space="preserve">- по статье "Приобретение прочих товаров и услуг" - экономия в связи с отказом судей от получения аренды жилья;</w:t>
      </w:r>
    </w:p>
    <w:p>
      <w:pPr>
        <w:spacing w:after="60"/>
        <w:ind w:firstLine="567"/>
        <w:jc w:val="both"/>
      </w:pPr>
      <w:r>
        <w:rPr>
          <w:rFonts w:ascii="Arial" w:cs="Arial" w:eastAsia="Arial" w:hAnsi="Arial"/>
          <w:sz w:val="22"/>
          <w:szCs w:val="22"/>
        </w:rPr>
        <w:t xml:space="preserve">- по статье "Приобретение предметов и материалов для текущих хозяйственных целей" - сэкономленные суммы в связи с проведением государственных закупок;</w:t>
      </w:r>
    </w:p>
    <w:p>
      <w:pPr>
        <w:spacing w:after="60"/>
        <w:ind w:firstLine="567"/>
        <w:jc w:val="both"/>
      </w:pPr>
      <w:r>
        <w:rPr>
          <w:rFonts w:ascii="Arial" w:cs="Arial" w:eastAsia="Arial" w:hAnsi="Arial"/>
          <w:sz w:val="22"/>
          <w:szCs w:val="22"/>
        </w:rPr>
        <w:t xml:space="preserve">- по статье "Коммунальные услуги" - строительство планируемых административных зданий не завершено;</w:t>
      </w:r>
    </w:p>
    <w:p>
      <w:pPr>
        <w:spacing w:after="60"/>
        <w:ind w:firstLine="567"/>
        <w:jc w:val="both"/>
      </w:pPr>
      <w:r>
        <w:rPr>
          <w:rFonts w:ascii="Arial" w:cs="Arial" w:eastAsia="Arial" w:hAnsi="Arial"/>
          <w:sz w:val="22"/>
          <w:szCs w:val="22"/>
        </w:rPr>
        <w:t xml:space="preserve">- по статье "Основные фонды" - в 2019 году в бюджете Судебного департамента при Верховном суде Кыргызской Республики были предусмотрены средства в сумме 139431,0 тыс. сомов - на подготовку зданий для внедрения института присяжных заседателей в Бишкекском и Ошском межрайонных судах, в связи с тем, что Законом Кыргызской Республики "О внесении изменений в некоторые законодательные акты Кыргызской Республики (в законы Кыргызской Республики "О присяжных заседателях в судах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26 декабря 2019 года № 146 был предусмотрен перенос реализации данных мероприятий на 2025 год, отпала необходимость в приобретении зданий.</w:t>
      </w:r>
    </w:p>
    <w:p>
      <w:pPr>
        <w:spacing w:after="60"/>
        <w:ind w:firstLine="567"/>
        <w:jc w:val="both"/>
      </w:pPr>
      <w:r>
        <w:rPr>
          <w:rFonts w:ascii="Arial" w:cs="Arial" w:eastAsia="Arial" w:hAnsi="Arial"/>
          <w:b/>
          <w:bCs/>
          <w:sz w:val="22"/>
          <w:szCs w:val="22"/>
        </w:rPr>
        <w:t xml:space="preserve">Генеральная прокуратура Кыргызской Республики</w:t>
      </w:r>
      <w:r>
        <w:rPr>
          <w:rFonts w:ascii="Arial" w:cs="Arial" w:eastAsia="Arial" w:hAnsi="Arial"/>
          <w:sz w:val="22"/>
          <w:szCs w:val="22"/>
        </w:rPr>
        <w:t xml:space="preserve"> - увеличение (на 11,8%) связано с дополнительно выделенными средствами:</w:t>
      </w:r>
    </w:p>
    <w:p>
      <w:pPr>
        <w:spacing w:after="60"/>
        <w:ind w:firstLine="567"/>
        <w:jc w:val="both"/>
      </w:pPr>
      <w:r>
        <w:rPr>
          <w:rFonts w:ascii="Arial" w:cs="Arial" w:eastAsia="Arial" w:hAnsi="Arial"/>
          <w:sz w:val="22"/>
          <w:szCs w:val="22"/>
        </w:rPr>
        <w:t xml:space="preserve">- 8,5 млн. сомов - на проведение заседания генеральных прокуроров государств-членов Шанхайской организации сотрудничества в Кыргызской Республике в июне 2019 года в рамках проведения очередного заседания Совета глав государств-членов Шанхайской организации сотрудничества;</w:t>
      </w:r>
    </w:p>
    <w:p>
      <w:pPr>
        <w:spacing w:after="60"/>
        <w:ind w:firstLine="567"/>
        <w:jc w:val="both"/>
      </w:pPr>
      <w:r>
        <w:rPr>
          <w:rFonts w:ascii="Arial" w:cs="Arial" w:eastAsia="Arial" w:hAnsi="Arial"/>
          <w:sz w:val="22"/>
          <w:szCs w:val="22"/>
        </w:rPr>
        <w:t xml:space="preserve">- 23,8 млн. сомов - для дальнейшей реализации мероприятий по внедрению Единого реестра преступлений и проступков в рамках судебно-правовой реформы в Кыргызской Республике;</w:t>
      </w:r>
    </w:p>
    <w:p>
      <w:pPr>
        <w:spacing w:after="60"/>
        <w:ind w:firstLine="567"/>
        <w:jc w:val="both"/>
      </w:pPr>
      <w:r>
        <w:rPr>
          <w:rFonts w:ascii="Arial" w:cs="Arial" w:eastAsia="Arial" w:hAnsi="Arial"/>
          <w:sz w:val="22"/>
          <w:szCs w:val="22"/>
        </w:rPr>
        <w:t xml:space="preserve">- 50,0 млн. сомов - на строительство и капитальный ремонт административных и служебных жилых зданий органов прокуратуры;</w:t>
      </w:r>
    </w:p>
    <w:p>
      <w:pPr>
        <w:spacing w:after="60"/>
        <w:ind w:firstLine="567"/>
        <w:jc w:val="both"/>
      </w:pPr>
      <w:r>
        <w:rPr>
          <w:rFonts w:ascii="Arial" w:cs="Arial" w:eastAsia="Arial" w:hAnsi="Arial"/>
          <w:sz w:val="22"/>
          <w:szCs w:val="22"/>
        </w:rPr>
        <w:t xml:space="preserve">- 14,2 млн. сомов - на увеличение штатной численности в количестве 33 человека;</w:t>
      </w:r>
    </w:p>
    <w:p>
      <w:pPr>
        <w:spacing w:after="60"/>
        <w:ind w:firstLine="567"/>
        <w:jc w:val="both"/>
      </w:pPr>
      <w:r>
        <w:rPr>
          <w:rFonts w:ascii="Arial" w:cs="Arial" w:eastAsia="Arial" w:hAnsi="Arial"/>
          <w:sz w:val="22"/>
          <w:szCs w:val="22"/>
        </w:rPr>
        <w:t xml:space="preserve">- 1,5 млн. сомов - для обеспечения текущей деятельности.</w:t>
      </w:r>
    </w:p>
    <w:p>
      <w:pPr>
        <w:spacing w:after="60"/>
        <w:ind w:firstLine="567"/>
        <w:jc w:val="both"/>
      </w:pPr>
      <w:r>
        <w:rPr>
          <w:rFonts w:ascii="Arial" w:cs="Arial" w:eastAsia="Arial" w:hAnsi="Arial"/>
          <w:sz w:val="22"/>
          <w:szCs w:val="22"/>
        </w:rPr>
        <w:t xml:space="preserve">Разница между контрольной цифрой и утвержденным бюджетом составила 6284,8 тыс. сомов, увеличение связано с дополнительно выделенными средствами для реализации мероприятий судебно-правовой реформы.</w:t>
      </w:r>
    </w:p>
    <w:p>
      <w:pPr>
        <w:spacing w:after="60"/>
        <w:ind w:firstLine="567"/>
        <w:jc w:val="both"/>
      </w:pPr>
      <w:r>
        <w:rPr>
          <w:rFonts w:ascii="Arial" w:cs="Arial" w:eastAsia="Arial" w:hAnsi="Arial"/>
          <w:sz w:val="22"/>
          <w:szCs w:val="22"/>
        </w:rPr>
        <w:t xml:space="preserve">При этом, уменьшены расходы на 10,7 млн. сомов за счет сэкономленных средств фонда оплаты труда по результатам анализа исполнения.</w:t>
      </w:r>
    </w:p>
    <w:p>
      <w:pPr>
        <w:spacing w:after="60"/>
        <w:ind w:firstLine="567"/>
        <w:jc w:val="both"/>
      </w:pPr>
      <w:r>
        <w:rPr>
          <w:rFonts w:ascii="Arial" w:cs="Arial" w:eastAsia="Arial" w:hAnsi="Arial"/>
          <w:b/>
          <w:bCs/>
          <w:sz w:val="22"/>
          <w:szCs w:val="22"/>
        </w:rPr>
        <w:t xml:space="preserve">Омбудсмен (Акыйкатчы) Кыргызской Республики</w:t>
      </w:r>
      <w:r>
        <w:rPr>
          <w:rFonts w:ascii="Arial" w:cs="Arial" w:eastAsia="Arial" w:hAnsi="Arial"/>
          <w:sz w:val="22"/>
          <w:szCs w:val="22"/>
        </w:rPr>
        <w:t xml:space="preserve"> - увеличение (на 55,5%) связано с дополнительно выделенными средствами в сумме 22,1 млн. сомов. Согласно постановлению Правительства Кыргызской Республики "Об условиях оплаты труда Акыйкатчы (Омбудсмена) Кыргызской Республики, его заместителей и государственных гражданских служащих Аппарата Акыйкатчы (Омбудсмена) Кыргызской Республики" от 25 декабря 2018 года № 628 увеличена заработная плата с целью совершенствования системы оплаты труда.</w:t>
      </w:r>
    </w:p>
    <w:p>
      <w:pPr>
        <w:spacing w:after="60"/>
        <w:ind w:firstLine="567"/>
        <w:jc w:val="both"/>
      </w:pPr>
      <w:r>
        <w:rPr>
          <w:rFonts w:ascii="Arial" w:cs="Arial" w:eastAsia="Arial" w:hAnsi="Arial"/>
          <w:b/>
          <w:bCs/>
          <w:sz w:val="22"/>
          <w:szCs w:val="22"/>
        </w:rPr>
        <w:t xml:space="preserve">Военная прокуратура Кыргызской Республики</w:t>
      </w:r>
      <w:r>
        <w:rPr>
          <w:rFonts w:ascii="Arial" w:cs="Arial" w:eastAsia="Arial" w:hAnsi="Arial"/>
          <w:sz w:val="22"/>
          <w:szCs w:val="22"/>
        </w:rPr>
        <w:t xml:space="preserve"> - увеличение (на 28,2%) связано с дополнительно выделенными средствами в сумме 10,0 млн. сомов на выплату выходного пособия, подъемного пособия при переводе за непрерывную службу, отчисления в социальный фонд, погашение задолженности по коммунальным услугам, командировочные расходы, выплату страхования военнослужащим и других кредиторских задолженностей.</w:t>
      </w:r>
    </w:p>
    <w:p>
      <w:pPr>
        <w:spacing w:after="60"/>
        <w:ind w:firstLine="567"/>
        <w:jc w:val="both"/>
      </w:pPr>
      <w:r>
        <w:rPr>
          <w:rFonts w:ascii="Arial" w:cs="Arial" w:eastAsia="Arial" w:hAnsi="Arial"/>
          <w:b/>
          <w:bCs/>
          <w:sz w:val="22"/>
          <w:szCs w:val="22"/>
        </w:rPr>
        <w:t xml:space="preserve">Государственная служба по борьбе с экономическими преступлениями при Правительстве Кыргызской Республики</w:t>
      </w:r>
      <w:r>
        <w:rPr>
          <w:rFonts w:ascii="Arial" w:cs="Arial" w:eastAsia="Arial" w:hAnsi="Arial"/>
          <w:sz w:val="22"/>
          <w:szCs w:val="22"/>
        </w:rPr>
        <w:t xml:space="preserve"> - увеличение кассовых расходов (на 25,3 млн. сомов или на 16,7%) связано с дополнительно выделенными средствами:</w:t>
      </w:r>
    </w:p>
    <w:p>
      <w:pPr>
        <w:spacing w:after="60"/>
        <w:ind w:firstLine="567"/>
        <w:jc w:val="both"/>
      </w:pPr>
      <w:r>
        <w:rPr>
          <w:rFonts w:ascii="Arial" w:cs="Arial" w:eastAsia="Arial" w:hAnsi="Arial"/>
          <w:sz w:val="22"/>
          <w:szCs w:val="22"/>
        </w:rPr>
        <w:t xml:space="preserve">- на создание структурированной кабельной системы, оснащение оборудованием, в том числе для более эффективной работы системы "Единый реестр преступлений и проступков" (далее - ЕРПП), в рамках Концепции цифровой трансформации "Цифровой Кыргызстан 2019-2023" в соответствии с распоряжением Правительства Кыргызской Республики от 24 мая 2019 года № 149-р;</w:t>
      </w:r>
    </w:p>
    <w:p>
      <w:pPr>
        <w:spacing w:after="60"/>
        <w:ind w:firstLine="567"/>
        <w:jc w:val="both"/>
      </w:pPr>
      <w:r>
        <w:rPr>
          <w:rFonts w:ascii="Arial" w:cs="Arial" w:eastAsia="Arial" w:hAnsi="Arial"/>
          <w:sz w:val="22"/>
          <w:szCs w:val="22"/>
        </w:rPr>
        <w:t xml:space="preserve">- на замену системы отопления в административном здании центрального аппарата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2"/>
          <w:szCs w:val="22"/>
        </w:rPr>
        <w:t xml:space="preserve">- на закупку серверного оборудования, программного обеспечения (продукты для создания и управления защищенной сетью), работы по установке, настройке, обучению, обновлению и техническому сопровождению систем информационной безопасности, приобретение продуктов программного обеспечения для создания программного обеспечения (далее - АИС ГСБЭП), работы по установке, настройке и обучению программного обеспечения АИС ГСБЭП, в рамках Концепции цифровой трансформации "Цифровой Кыргызстан на 2019-2023".</w:t>
      </w:r>
    </w:p>
    <w:p>
      <w:pPr>
        <w:spacing w:after="60"/>
        <w:ind w:firstLine="567"/>
        <w:jc w:val="both"/>
      </w:pPr>
      <w:r>
        <w:rPr>
          <w:rFonts w:ascii="Arial" w:cs="Arial" w:eastAsia="Arial" w:hAnsi="Arial"/>
          <w:b/>
          <w:bCs/>
          <w:sz w:val="22"/>
          <w:szCs w:val="22"/>
        </w:rPr>
        <w:t xml:space="preserve">Государственная служба исполнения наказаний при Правительстве Кыргызской Республики,</w:t>
      </w:r>
      <w:r>
        <w:rPr>
          <w:rFonts w:ascii="Arial" w:cs="Arial" w:eastAsia="Arial" w:hAnsi="Arial"/>
          <w:sz w:val="22"/>
          <w:szCs w:val="22"/>
        </w:rPr>
        <w:t xml:space="preserve"> отклонение между утвержденным бюджетом и фактическими расходами (на 8,4 млн. сомов или на 0,6%) связано с дополнительно выделенными средствами:</w:t>
      </w:r>
    </w:p>
    <w:p>
      <w:pPr>
        <w:spacing w:after="60"/>
        <w:ind w:firstLine="567"/>
        <w:jc w:val="both"/>
      </w:pPr>
      <w:r>
        <w:rPr>
          <w:rFonts w:ascii="Arial" w:cs="Arial" w:eastAsia="Arial" w:hAnsi="Arial"/>
          <w:sz w:val="22"/>
          <w:szCs w:val="22"/>
        </w:rPr>
        <w:t xml:space="preserve">- на оплату труда, материально-техническое оснащение и коммунально-эксплуатационные затраты в соответствии с постановлением Правительства Кыргызской Республики "О вопросах создания органа пробации в Кыргызской Республике" от 31 декабря 2018 года № 666;</w:t>
      </w:r>
    </w:p>
    <w:p>
      <w:pPr>
        <w:spacing w:after="60"/>
        <w:ind w:firstLine="567"/>
        <w:jc w:val="both"/>
      </w:pPr>
      <w:r>
        <w:rPr>
          <w:rFonts w:ascii="Arial" w:cs="Arial" w:eastAsia="Arial" w:hAnsi="Arial"/>
          <w:sz w:val="22"/>
          <w:szCs w:val="22"/>
        </w:rPr>
        <w:t xml:space="preserve">- на создание информационной системы "Центральная база данных заключенных" интегрированной с автоматизированной системой "ЕРПП", приобретение услуг по техническому обслуживанию локального и серверного оборудования, а также приобретение системы видео-конференцсвязи для ведения допросов, в рамках Концепции цифровой трансформации "Цифровой Кыргызстан 2019-2023";</w:t>
      </w:r>
    </w:p>
    <w:p>
      <w:pPr>
        <w:spacing w:after="60"/>
        <w:ind w:firstLine="567"/>
        <w:jc w:val="both"/>
      </w:pPr>
      <w:r>
        <w:rPr>
          <w:rFonts w:ascii="Arial" w:cs="Arial" w:eastAsia="Arial" w:hAnsi="Arial"/>
          <w:sz w:val="22"/>
          <w:szCs w:val="22"/>
        </w:rPr>
        <w:t xml:space="preserve">- на погашение кредиторской задолженности перед энергоснабжающими организациями;</w:t>
      </w:r>
    </w:p>
    <w:p>
      <w:pPr>
        <w:spacing w:after="60"/>
        <w:ind w:firstLine="567"/>
        <w:jc w:val="both"/>
      </w:pPr>
      <w:r>
        <w:rPr>
          <w:rFonts w:ascii="Arial" w:cs="Arial" w:eastAsia="Arial" w:hAnsi="Arial"/>
          <w:sz w:val="22"/>
          <w:szCs w:val="22"/>
        </w:rPr>
        <w:t xml:space="preserve">- на дальнейшую реализацию мероприятий по внедрению автоматизированной системы "ЕРПП" в органах уголовно-исполнительной системы и пробации в соответствии с распоряжением Правительства Кыргызской Республики от 26 ноября 2019 года № 448-р;</w:t>
      </w:r>
    </w:p>
    <w:p>
      <w:pPr>
        <w:spacing w:after="60"/>
        <w:ind w:firstLine="567"/>
        <w:jc w:val="both"/>
      </w:pPr>
      <w:r>
        <w:rPr>
          <w:rFonts w:ascii="Arial" w:cs="Arial" w:eastAsia="Arial" w:hAnsi="Arial"/>
          <w:sz w:val="22"/>
          <w:szCs w:val="22"/>
        </w:rPr>
        <w:t xml:space="preserve">- на выплаты страховых сумм в соответствии с Законом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60"/>
        <w:ind w:firstLine="567"/>
        <w:jc w:val="both"/>
      </w:pPr>
      <w:r>
        <w:rPr>
          <w:rFonts w:ascii="Arial" w:cs="Arial" w:eastAsia="Arial" w:hAnsi="Arial"/>
          <w:sz w:val="22"/>
          <w:szCs w:val="22"/>
        </w:rPr>
        <w:t xml:space="preserve">- на выплату средств военнослужащим по поднайму жилья;</w:t>
      </w:r>
    </w:p>
    <w:p>
      <w:pPr>
        <w:spacing w:after="60"/>
        <w:ind w:firstLine="567"/>
        <w:jc w:val="both"/>
      </w:pPr>
      <w:r>
        <w:rPr>
          <w:rFonts w:ascii="Arial" w:cs="Arial" w:eastAsia="Arial" w:hAnsi="Arial"/>
          <w:sz w:val="22"/>
          <w:szCs w:val="22"/>
        </w:rPr>
        <w:t xml:space="preserve">- на приобретение специального автотранспортного средства для конвоирования, вместимостью до 45 человек.</w:t>
      </w:r>
    </w:p>
    <w:p>
      <w:pPr>
        <w:spacing w:after="60"/>
        <w:ind w:firstLine="567"/>
        <w:jc w:val="both"/>
      </w:pPr>
      <w:r>
        <w:rPr>
          <w:rFonts w:ascii="Arial" w:cs="Arial" w:eastAsia="Arial" w:hAnsi="Arial"/>
          <w:b/>
          <w:bCs/>
          <w:sz w:val="22"/>
          <w:szCs w:val="22"/>
        </w:rPr>
        <w:t xml:space="preserve">Государственная таможенная служба при Правительстве Кыргызской Республики.</w:t>
      </w:r>
    </w:p>
    <w:p>
      <w:pPr>
        <w:spacing w:after="60"/>
        <w:ind w:firstLine="567"/>
        <w:jc w:val="both"/>
      </w:pPr>
      <w:r>
        <w:rPr>
          <w:rFonts w:ascii="Arial" w:cs="Arial" w:eastAsia="Arial" w:hAnsi="Arial"/>
          <w:sz w:val="22"/>
          <w:szCs w:val="22"/>
        </w:rPr>
        <w:t xml:space="preserve">Контрольная цифра Государственной таможенной службе при Правительстве Кыргызской Республики на 2019 год утверждена в сумме 571,9 млн. сомов. В соответствии с Положением о Фонде развития таможенной службы, утвержденным постановлением Правительства Кыргызской Республики от 14 июня 2005 года № 226, Фонд формируется за счет финансирования из расходной части республиканского бюджета в размере суммы, соразмерной поступлениям в республиканский бюджет от таможенных сборов за предыдущий бюджетный год, взимаемых таможенными органами за совершение таможенных операций, связанных с выпуском товаров, принятием предварительного решения и иных источников, предусмотренных законодательством Кыргызской Республики. Утвержденный бюджет увеличен на 500,0 млн. сомов и составил 1071,9 млн. сомов, уточненный бюджет составил 920,6 млн. сомов, а фактический расход составил 869,0 млн. сомов.</w:t>
      </w:r>
    </w:p>
    <w:p>
      <w:pPr>
        <w:spacing w:after="60"/>
        <w:ind w:firstLine="567"/>
        <w:jc w:val="both"/>
      </w:pPr>
      <w:r>
        <w:rPr>
          <w:rFonts w:ascii="Arial" w:cs="Arial" w:eastAsia="Arial" w:hAnsi="Arial"/>
          <w:sz w:val="22"/>
          <w:szCs w:val="22"/>
        </w:rPr>
        <w:t xml:space="preserve">В 2019 году бюджетные средства уменьшены на сумму 151,2 млн. сомов, из них:</w:t>
      </w:r>
    </w:p>
    <w:p>
      <w:pPr>
        <w:spacing w:after="60"/>
        <w:ind w:firstLine="567"/>
        <w:jc w:val="both"/>
      </w:pPr>
      <w:r>
        <w:rPr>
          <w:rFonts w:ascii="Arial" w:cs="Arial" w:eastAsia="Arial" w:hAnsi="Arial"/>
          <w:sz w:val="22"/>
          <w:szCs w:val="22"/>
        </w:rPr>
        <w:t xml:space="preserve">- 1,4 млн. сомов, на основании предписания Счетной палаты Кыргызской Республики;</w:t>
      </w:r>
    </w:p>
    <w:p>
      <w:pPr>
        <w:spacing w:after="60"/>
        <w:ind w:firstLine="567"/>
        <w:jc w:val="both"/>
      </w:pPr>
      <w:r>
        <w:rPr>
          <w:rFonts w:ascii="Arial" w:cs="Arial" w:eastAsia="Arial" w:hAnsi="Arial"/>
          <w:sz w:val="22"/>
          <w:szCs w:val="22"/>
        </w:rPr>
        <w:t xml:space="preserve">- 86,5 млн. сомов, за счет сэкономленных средств фонда оплаты труда по итогам анализа;</w:t>
      </w:r>
    </w:p>
    <w:p>
      <w:pPr>
        <w:spacing w:after="60"/>
        <w:ind w:firstLine="567"/>
        <w:jc w:val="both"/>
      </w:pPr>
      <w:r>
        <w:rPr>
          <w:rFonts w:ascii="Arial" w:cs="Arial" w:eastAsia="Arial" w:hAnsi="Arial"/>
          <w:sz w:val="22"/>
          <w:szCs w:val="22"/>
        </w:rPr>
        <w:t xml:space="preserve">- 73,9 млн. сомов, в рамках оптимизации расходов республиканского бюджета на 2019 год.</w:t>
      </w:r>
    </w:p>
    <w:p>
      <w:pPr>
        <w:spacing w:after="60"/>
        <w:ind w:firstLine="567"/>
        <w:jc w:val="both"/>
      </w:pPr>
      <w:r>
        <w:rPr>
          <w:rFonts w:ascii="Arial" w:cs="Arial" w:eastAsia="Arial" w:hAnsi="Arial"/>
          <w:sz w:val="22"/>
          <w:szCs w:val="22"/>
        </w:rPr>
        <w:t xml:space="preserve">Увеличение расходов по бюджетным средствам связано с дополнительно выделенными средствами в сумме 10,6 млн. сомов, в соответствии с распоряжением Правительства Кыргызской Республики от 7 марта 2019 года № 49-р, в рамках реализации мероприятий по государственно-частному партнерству (для оплаты консультационных услуг по подготовке технико-экономического обоснования проекта "Строительство таможенно-логистического комплекса в Ат-Башинском районе Нарынской области").</w:t>
      </w:r>
    </w:p>
    <w:p>
      <w:pPr>
        <w:spacing w:after="60"/>
        <w:ind w:firstLine="567"/>
        <w:jc w:val="both"/>
      </w:pPr>
      <w:r>
        <w:rPr>
          <w:rFonts w:ascii="Arial" w:cs="Arial" w:eastAsia="Arial" w:hAnsi="Arial"/>
          <w:b/>
          <w:bCs/>
          <w:sz w:val="22"/>
          <w:szCs w:val="22"/>
        </w:rPr>
        <w:t xml:space="preserve">Центрально-Азиатский институт прикладных исследований Земли (далее - ЦАИИЗ).</w:t>
      </w:r>
    </w:p>
    <w:p>
      <w:pPr>
        <w:spacing w:after="60"/>
        <w:ind w:firstLine="567"/>
        <w:jc w:val="both"/>
      </w:pPr>
      <w:r>
        <w:rPr>
          <w:rFonts w:ascii="Arial" w:cs="Arial" w:eastAsia="Arial" w:hAnsi="Arial"/>
          <w:sz w:val="22"/>
          <w:szCs w:val="22"/>
        </w:rPr>
        <w:t xml:space="preserve">В соответствии с Законом Кыргызской Республики "О республиканском бюджете Кыргызской Республики на 2019 год и прогнозе на 2020-2021 годы" на содержание ЦАИИЗ в 2019 году были предусмотрены бюджетные средства в размере 14924,0 тыс. сомов. По итогам анализа были оптимизированы средства в сумме 1728,7 млн. сомов от утвержденного бюджета.</w:t>
      </w:r>
    </w:p>
    <w:p>
      <w:pPr>
        <w:spacing w:after="60"/>
        <w:ind w:firstLine="567"/>
        <w:jc w:val="both"/>
      </w:pPr>
      <w:r>
        <w:rPr>
          <w:rFonts w:ascii="Arial" w:cs="Arial" w:eastAsia="Arial" w:hAnsi="Arial"/>
          <w:sz w:val="22"/>
          <w:szCs w:val="22"/>
        </w:rPr>
        <w:t xml:space="preserve">Фактические расходы за 2019 год составили 13120,9 тыс. сомов, или 87,9% к утвержденному бюджету 2019 года.</w:t>
      </w:r>
    </w:p>
    <w:p>
      <w:pPr>
        <w:spacing w:after="60"/>
        <w:ind w:firstLine="567"/>
        <w:jc w:val="both"/>
      </w:pPr>
      <w:r>
        <w:rPr>
          <w:rFonts w:ascii="Arial" w:cs="Arial" w:eastAsia="Arial" w:hAnsi="Arial"/>
          <w:sz w:val="22"/>
          <w:szCs w:val="22"/>
        </w:rPr>
        <w:t xml:space="preserve">Государственное агентство по регулированию топливно-энергетического комплекса при Правительстве Кыргызской Республики (далее - ГАРТЭК).</w:t>
      </w:r>
    </w:p>
    <w:p>
      <w:pPr>
        <w:spacing w:after="60"/>
        <w:ind w:firstLine="567"/>
        <w:jc w:val="both"/>
      </w:pPr>
      <w:r>
        <w:rPr>
          <w:rFonts w:ascii="Arial" w:cs="Arial" w:eastAsia="Arial" w:hAnsi="Arial"/>
          <w:sz w:val="22"/>
          <w:szCs w:val="22"/>
        </w:rPr>
        <w:t xml:space="preserve">Фактическое финансирования текущих расходов ГАРТЭК за 2019 год составило 26,5 млн. сомов, или 128,3% от утвержденного бюджета, и 98,9% от уточненного плана (26,8 млн. сомов). Увеличение бюджета ГАРТЭК произведено на 6,1 млн. сомов, в том числе:</w:t>
      </w:r>
    </w:p>
    <w:p>
      <w:pPr>
        <w:spacing w:after="60"/>
        <w:ind w:firstLine="567"/>
        <w:jc w:val="both"/>
      </w:pPr>
      <w:r>
        <w:rPr>
          <w:rFonts w:ascii="Arial" w:cs="Arial" w:eastAsia="Arial" w:hAnsi="Arial"/>
          <w:sz w:val="22"/>
          <w:szCs w:val="22"/>
        </w:rPr>
        <w:t xml:space="preserve">- 4,8 млн. сомов - в целях укрепления материально-технической базы, создания необходимых условий для работы и обеспечения социальной защиты сотрудников. Предусмотрены дополнительные средства для создания Фонда развития и материального обеспечения в соответствии с Законом Кыргызской Республики "О естественных монополиях в Кыргызской Республике";</w:t>
      </w:r>
    </w:p>
    <w:p>
      <w:pPr>
        <w:spacing w:after="60"/>
        <w:ind w:firstLine="567"/>
        <w:jc w:val="both"/>
      </w:pPr>
      <w:r>
        <w:rPr>
          <w:rFonts w:ascii="Arial" w:cs="Arial" w:eastAsia="Arial" w:hAnsi="Arial"/>
          <w:sz w:val="22"/>
          <w:szCs w:val="22"/>
        </w:rPr>
        <w:t xml:space="preserve">- 1,3 млн. сомов - на создание информационной системы "Реестр лицензий отдельных видов деятельности в области топливно-энергетического комплекса в рамках программы цифровизации.</w:t>
      </w:r>
    </w:p>
    <w:p>
      <w:pPr>
        <w:spacing w:after="60"/>
        <w:ind w:firstLine="567"/>
        <w:jc w:val="both"/>
      </w:pPr>
      <w:r>
        <w:rPr>
          <w:rFonts w:ascii="Arial" w:cs="Arial" w:eastAsia="Arial" w:hAnsi="Arial"/>
          <w:b/>
          <w:bCs/>
          <w:sz w:val="22"/>
          <w:szCs w:val="22"/>
        </w:rPr>
        <w:t xml:space="preserve">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2"/>
          <w:szCs w:val="22"/>
        </w:rPr>
        <w:t xml:space="preserve">Уточненный бюджет текущих расходов Министерства сельского хозяйства, пищевой промышленности и мелиорации Кыргызской Республики со специальными средствами на 2019 год составил 1393,1 млн. сомов, с уменьшением на 403,3 млн. сомов или на 22,5% относительно утвержденного бюджета (1796,4 млн. сомов), из них бюджетные средства - 1317,0 млн. сомов с уменьшением на 383,2 млн. сомов (1700,2 млн. сомов), за счет специальных средств - 76,1 млн. сомов с уменьшением на 20,1 млн. сомов (96,2 млн. сомов).</w:t>
      </w:r>
    </w:p>
    <w:p>
      <w:pPr>
        <w:spacing w:after="60"/>
        <w:ind w:firstLine="567"/>
        <w:jc w:val="both"/>
      </w:pPr>
      <w:r>
        <w:rPr>
          <w:rFonts w:ascii="Arial" w:cs="Arial" w:eastAsia="Arial" w:hAnsi="Arial"/>
          <w:sz w:val="22"/>
          <w:szCs w:val="22"/>
        </w:rPr>
        <w:t xml:space="preserve">Увеличены расходы на общую сумму 2,1 млн. сомов в соответствии с распоряжением Правительства Кыргызской Республики от 2 июля 2019 года № 244-р в рамках Концепции цифровой трансформации "Цифровой Кыргызстан 2019-2023", из них:</w:t>
      </w:r>
    </w:p>
    <w:p>
      <w:pPr>
        <w:spacing w:after="60"/>
        <w:ind w:firstLine="567"/>
        <w:jc w:val="both"/>
      </w:pPr>
      <w:r>
        <w:rPr>
          <w:rFonts w:ascii="Arial" w:cs="Arial" w:eastAsia="Arial" w:hAnsi="Arial"/>
          <w:sz w:val="22"/>
          <w:szCs w:val="22"/>
        </w:rPr>
        <w:t xml:space="preserve">- 0,1 млн. сомов - для целей создания модуля обмена данными портала "agroprod.gov.kg" с информационными системами;</w:t>
      </w:r>
    </w:p>
    <w:p>
      <w:pPr>
        <w:spacing w:after="60"/>
        <w:ind w:firstLine="567"/>
        <w:jc w:val="both"/>
      </w:pPr>
      <w:r>
        <w:rPr>
          <w:rFonts w:ascii="Arial" w:cs="Arial" w:eastAsia="Arial" w:hAnsi="Arial"/>
          <w:sz w:val="22"/>
          <w:szCs w:val="22"/>
        </w:rPr>
        <w:t xml:space="preserve">- 0,2 млн. сомов - для приобретения оргтехники для автоматизации процедур по выдаче лицензии на производство и оборот этилового спирта и алкогольной продукции;</w:t>
      </w:r>
    </w:p>
    <w:p>
      <w:pPr>
        <w:spacing w:after="60"/>
        <w:ind w:firstLine="567"/>
        <w:jc w:val="both"/>
      </w:pPr>
      <w:r>
        <w:rPr>
          <w:rFonts w:ascii="Arial" w:cs="Arial" w:eastAsia="Arial" w:hAnsi="Arial"/>
          <w:sz w:val="22"/>
          <w:szCs w:val="22"/>
        </w:rPr>
        <w:t xml:space="preserve">- 0,2 млн. сомов - в целях создания баз данных ветеринарных лекарственных средств, кормов и кормовых добавок;</w:t>
      </w:r>
    </w:p>
    <w:p>
      <w:pPr>
        <w:spacing w:after="60"/>
        <w:ind w:firstLine="567"/>
        <w:jc w:val="both"/>
      </w:pPr>
      <w:r>
        <w:rPr>
          <w:rFonts w:ascii="Arial" w:cs="Arial" w:eastAsia="Arial" w:hAnsi="Arial"/>
          <w:sz w:val="22"/>
          <w:szCs w:val="22"/>
        </w:rPr>
        <w:t xml:space="preserve">- 1,6 млн. сомов - Департаменту карантина растений для взаимодействия информационной системы "ИСЭЛЕК-фито" с "Аргус Фито" в рамках ЕАЭС.</w:t>
      </w:r>
    </w:p>
    <w:p>
      <w:pPr>
        <w:spacing w:after="60"/>
        <w:ind w:firstLine="567"/>
        <w:jc w:val="both"/>
      </w:pPr>
      <w:r>
        <w:rPr>
          <w:rFonts w:ascii="Arial" w:cs="Arial" w:eastAsia="Arial" w:hAnsi="Arial"/>
          <w:sz w:val="22"/>
          <w:szCs w:val="22"/>
        </w:rPr>
        <w:t xml:space="preserve">Сокращены расходы на общую сумму 385,3 млн. сомов, из них:</w:t>
      </w:r>
    </w:p>
    <w:p>
      <w:pPr>
        <w:spacing w:after="60"/>
        <w:ind w:firstLine="567"/>
        <w:jc w:val="both"/>
      </w:pPr>
      <w:r>
        <w:rPr>
          <w:rFonts w:ascii="Arial" w:cs="Arial" w:eastAsia="Arial" w:hAnsi="Arial"/>
          <w:sz w:val="22"/>
          <w:szCs w:val="22"/>
        </w:rPr>
        <w:t xml:space="preserve">- на 362,3 млн. сомов в связи с передачей Департамента водного хозяйства и мелиорации в ведение Государственного агентства водных ресурсов при Правительстве Кыргызской Республики в целях совершенствования управления водными ресурсами и водохозяйственным комплексом Кыргызской Республики в соответствии с постановлением Правительства Кыргызской Республики от 30 июля 2019 года № 383;</w:t>
      </w:r>
    </w:p>
    <w:p>
      <w:pPr>
        <w:spacing w:after="60"/>
        <w:ind w:firstLine="567"/>
        <w:jc w:val="both"/>
      </w:pPr>
      <w:r>
        <w:rPr>
          <w:rFonts w:ascii="Arial" w:cs="Arial" w:eastAsia="Arial" w:hAnsi="Arial"/>
          <w:sz w:val="22"/>
          <w:szCs w:val="22"/>
        </w:rPr>
        <w:t xml:space="preserve">- по зачету сверхнормативных запасов товарно-материальных ценностей, а также остатков средств на счетах в конце года на сумму 3,5 млн. сомов;</w:t>
      </w:r>
    </w:p>
    <w:p>
      <w:pPr>
        <w:spacing w:after="60"/>
        <w:ind w:firstLine="567"/>
        <w:jc w:val="both"/>
      </w:pPr>
      <w:r>
        <w:rPr>
          <w:rFonts w:ascii="Arial" w:cs="Arial" w:eastAsia="Arial" w:hAnsi="Arial"/>
          <w:sz w:val="22"/>
          <w:szCs w:val="22"/>
        </w:rPr>
        <w:t xml:space="preserve">- по предписанию Счетной палаты Кыргызской Республики на сумму 4,6 млн. сомов;</w:t>
      </w:r>
    </w:p>
    <w:p>
      <w:pPr>
        <w:spacing w:after="60"/>
        <w:ind w:firstLine="567"/>
        <w:jc w:val="both"/>
      </w:pPr>
      <w:r>
        <w:rPr>
          <w:rFonts w:ascii="Arial" w:cs="Arial" w:eastAsia="Arial" w:hAnsi="Arial"/>
          <w:sz w:val="22"/>
          <w:szCs w:val="22"/>
        </w:rPr>
        <w:t xml:space="preserve">- 14,9 млн. сомов - Государственное предприятие "Государственный проектный институт по землеустройству "Кыргызгипрозем" Министерства сельского хозяйства, пищевой промышленности и мелиорации Кыргызской Республики передан в ведение вновь созданного Государственного агентства по земельным ресурсам при Правительстве Кыргызской Республики с соответствующим штатом работников, бюджетным финансированием и материально-технической базой в соответствии с постановлением Правительства Кыргызской Республики от 30 июля 2019 года № 382.</w:t>
      </w:r>
    </w:p>
    <w:p>
      <w:pPr>
        <w:spacing w:after="60"/>
        <w:ind w:firstLine="567"/>
        <w:jc w:val="both"/>
      </w:pPr>
      <w:r>
        <w:rPr>
          <w:rFonts w:ascii="Arial" w:cs="Arial" w:eastAsia="Arial" w:hAnsi="Arial"/>
          <w:sz w:val="22"/>
          <w:szCs w:val="22"/>
        </w:rPr>
        <w:t xml:space="preserve">Фактические расходы за 2019 год составили 1299,2 млн. сомов, или 76,4% утвержденного бюджета 2019 года.</w:t>
      </w:r>
    </w:p>
    <w:p>
      <w:pPr>
        <w:spacing w:after="60"/>
        <w:ind w:firstLine="567"/>
        <w:jc w:val="both"/>
      </w:pPr>
      <w:r>
        <w:rPr>
          <w:rFonts w:ascii="Arial" w:cs="Arial" w:eastAsia="Arial" w:hAnsi="Arial"/>
          <w:b/>
          <w:bCs/>
          <w:sz w:val="22"/>
          <w:szCs w:val="22"/>
        </w:rPr>
        <w:t xml:space="preserve">Государственная инспекция по экологической и технической безопасности при Правительстве Кыргызской Республики (далее - ГИЭТБ).</w:t>
      </w:r>
    </w:p>
    <w:p>
      <w:pPr>
        <w:spacing w:after="60"/>
        <w:ind w:firstLine="567"/>
        <w:jc w:val="both"/>
      </w:pPr>
      <w:r>
        <w:rPr>
          <w:rFonts w:ascii="Arial" w:cs="Arial" w:eastAsia="Arial" w:hAnsi="Arial"/>
          <w:sz w:val="22"/>
          <w:szCs w:val="22"/>
        </w:rPr>
        <w:t xml:space="preserve">Контрольная сумма ГИЭТБ на 2019 год составила 239,9 млн. сомов. В бюджет данной организации внесено изменение в соответствии с постановлением Правительства Кыргызской Республики от 7 августа 2017 года № 466 на увеличение заработной платы (с учетом отчислений в Соцфонд) выделено 52,7 млн. сомов и постановлением Правительства Кыргызской Республики от 2 июня 2017 года № 337 для улучшения материально-технической базы и стимулирования сотрудников ГИЭТБ 11,2 млн. сомов.</w:t>
      </w:r>
    </w:p>
    <w:p>
      <w:pPr>
        <w:spacing w:after="60"/>
        <w:ind w:firstLine="567"/>
        <w:jc w:val="both"/>
      </w:pPr>
      <w:r>
        <w:rPr>
          <w:rFonts w:ascii="Arial" w:cs="Arial" w:eastAsia="Arial" w:hAnsi="Arial"/>
          <w:sz w:val="22"/>
          <w:szCs w:val="22"/>
        </w:rPr>
        <w:t xml:space="preserve">Бюджет ГИЭТБ утвержден в сумме 303,8 млн. сомов. Уточненный бюджет составил 292,5 млн. сомов или уменьшен на 11,3 млн. сомов. Фактическое финансирование составило 269,9 млн. сомов, бюджет исполнен на 92,3%.</w:t>
      </w:r>
    </w:p>
    <w:p>
      <w:pPr>
        <w:spacing w:after="60"/>
        <w:ind w:firstLine="567"/>
        <w:jc w:val="both"/>
      </w:pPr>
      <w:r>
        <w:rPr>
          <w:rFonts w:ascii="Arial" w:cs="Arial" w:eastAsia="Arial" w:hAnsi="Arial"/>
          <w:sz w:val="22"/>
          <w:szCs w:val="22"/>
        </w:rPr>
        <w:t xml:space="preserve">Согласно акту Счетной палаты Кыргызской Республики, восстановлены в республиканский бюджет средства, предназначенные в 2018 году на предоплату подоходного налога, отчисления страховых взносов на 2019 год, в размере 12,8 млн. сомов (из них по платежному поручению - 3,5 млн. сомов), а также восстановлены сверхнормативные запасы товарно-материальных ценностей на сумму 1,9 млн. сомов.</w:t>
      </w:r>
    </w:p>
    <w:p>
      <w:pPr>
        <w:spacing w:after="60"/>
        <w:ind w:firstLine="567"/>
        <w:jc w:val="both"/>
      </w:pPr>
      <w:r>
        <w:rPr>
          <w:rFonts w:ascii="Arial" w:cs="Arial" w:eastAsia="Arial" w:hAnsi="Arial"/>
          <w:sz w:val="22"/>
          <w:szCs w:val="22"/>
        </w:rPr>
        <w:t xml:space="preserve">Кроме того, согласно постановлению Правительства Кыргызской Республики от 20 июня 2019 года № 303 одна штатная единица ГИЭТБ передана в Министерство внутренних дел Кыргызской Республики с соответствующим финансированием в 67,2 тыс. сомов.</w:t>
      </w:r>
    </w:p>
    <w:p>
      <w:pPr>
        <w:spacing w:after="60"/>
        <w:ind w:firstLine="567"/>
        <w:jc w:val="both"/>
      </w:pPr>
      <w:r>
        <w:rPr>
          <w:rFonts w:ascii="Arial" w:cs="Arial" w:eastAsia="Arial" w:hAnsi="Arial"/>
          <w:b/>
          <w:bCs/>
          <w:sz w:val="22"/>
          <w:szCs w:val="22"/>
        </w:rPr>
        <w:t xml:space="preserve">Государственное агентство охраны окружающей среды и лесного хозяйства при Правительстве Кыргызской Республики (далее - ГАООСЛХ).</w:t>
      </w:r>
    </w:p>
    <w:p>
      <w:pPr>
        <w:spacing w:after="60"/>
        <w:ind w:firstLine="567"/>
        <w:jc w:val="both"/>
      </w:pPr>
      <w:r>
        <w:rPr>
          <w:rFonts w:ascii="Arial" w:cs="Arial" w:eastAsia="Arial" w:hAnsi="Arial"/>
          <w:sz w:val="22"/>
          <w:szCs w:val="22"/>
        </w:rPr>
        <w:t xml:space="preserve">В соответствии с Законом Кыргызской Республики "О внесении изменений в Закон Кыргызской Республики "О республиканском бюджете Кыргызской Республики на 2019 год и прогнозе на 2020-2021 годы" расходы за счет бюджетных средств ГАООСЛХ на 2019 год составили 650,1 млн. сомов, с уменьшением на 35,1 млн. сомов, в том числе:</w:t>
      </w:r>
    </w:p>
    <w:p>
      <w:pPr>
        <w:spacing w:after="60"/>
        <w:ind w:firstLine="567"/>
        <w:jc w:val="both"/>
      </w:pPr>
      <w:r>
        <w:rPr>
          <w:rFonts w:ascii="Arial" w:cs="Arial" w:eastAsia="Arial" w:hAnsi="Arial"/>
          <w:sz w:val="22"/>
          <w:szCs w:val="22"/>
        </w:rPr>
        <w:t xml:space="preserve">- 1,4 млн. сомов - согласно постановлению Правительства Кыргызской Республики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от 3 ноября 2011 года № 694;</w:t>
      </w:r>
    </w:p>
    <w:p>
      <w:pPr>
        <w:spacing w:after="60"/>
        <w:ind w:firstLine="567"/>
        <w:jc w:val="both"/>
      </w:pPr>
      <w:r>
        <w:rPr>
          <w:rFonts w:ascii="Arial" w:cs="Arial" w:eastAsia="Arial" w:hAnsi="Arial"/>
          <w:sz w:val="22"/>
          <w:szCs w:val="22"/>
        </w:rPr>
        <w:t xml:space="preserve">- 33,7 млн. сомов - на основании предписания Счетной палаты Кыргызской Республики от 30 августа 2019 года № 01-23/203 и за счет анализа расходов.</w:t>
      </w:r>
    </w:p>
    <w:p>
      <w:pPr>
        <w:spacing w:after="60"/>
        <w:ind w:firstLine="567"/>
        <w:jc w:val="both"/>
      </w:pPr>
      <w:r>
        <w:rPr>
          <w:rFonts w:ascii="Arial" w:cs="Arial" w:eastAsia="Arial" w:hAnsi="Arial"/>
          <w:sz w:val="22"/>
          <w:szCs w:val="22"/>
        </w:rPr>
        <w:t xml:space="preserve">Фактические расходы за 2019 год составили 572,5 млн. сомов. Из всего объема выделенных средств 85,7% направлены на оплату заработной платы сотрудников центрального аппарата госагентства и его подведомственных учреждений, включая отчисления в Соцфонд, на выполнение функций по реализации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60" w:before="200"/>
        <w:ind w:firstLine="567"/>
        <w:jc w:val="both"/>
      </w:pPr>
      <w:r>
        <w:rPr>
          <w:rFonts w:ascii="Arial" w:cs="Arial" w:eastAsia="Arial" w:hAnsi="Arial"/>
          <w:b/>
          <w:bCs/>
          <w:sz w:val="22"/>
          <w:szCs w:val="22"/>
        </w:rPr>
        <w:t xml:space="preserve">Возможные риски по расходной части республиканского бюджета</w:t>
      </w:r>
    </w:p>
    <w:p>
      <w:pPr>
        <w:spacing w:after="60"/>
        <w:ind w:firstLine="567"/>
        <w:jc w:val="both"/>
      </w:pPr>
      <w:r>
        <w:rPr>
          <w:rFonts w:ascii="Arial" w:cs="Arial" w:eastAsia="Arial" w:hAnsi="Arial"/>
          <w:b/>
          <w:bCs/>
          <w:sz w:val="22"/>
          <w:szCs w:val="22"/>
        </w:rPr>
        <w:t xml:space="preserve">По Социальному фонду Кыргызской Республики потребуются дополнительные средства:</w:t>
      </w:r>
    </w:p>
    <w:p>
      <w:pPr>
        <w:spacing w:after="60"/>
        <w:ind w:firstLine="567"/>
        <w:jc w:val="both"/>
      </w:pPr>
      <w:r>
        <w:rPr>
          <w:rFonts w:ascii="Arial" w:cs="Arial" w:eastAsia="Arial" w:hAnsi="Arial"/>
          <w:sz w:val="22"/>
          <w:szCs w:val="22"/>
        </w:rPr>
        <w:t xml:space="preserve">- по акту сверки использования ассигнований из республиканского бюджета, выделенных Социальному фонду за 2019 год, кредиторская задолженность, по состоянию на 1 января 2020 года, составляет 196,1 млн. сомов, которая не учтена в расходной части республиканского бюджета 2020 года;</w:t>
      </w:r>
    </w:p>
    <w:p>
      <w:pPr>
        <w:spacing w:after="60"/>
        <w:ind w:firstLine="567"/>
        <w:jc w:val="both"/>
      </w:pPr>
      <w:r>
        <w:rPr>
          <w:rFonts w:ascii="Arial" w:cs="Arial" w:eastAsia="Arial" w:hAnsi="Arial"/>
          <w:sz w:val="22"/>
          <w:szCs w:val="22"/>
        </w:rPr>
        <w:t xml:space="preserve">- в соответствии с распоряжением Правительства Кыргызской Республики от 18 августа 2017 года № 359-р на возмещение в 2020 году страховых взносов, начисленных за период с 1 июня 2010 года по 31 декабря 2012 года, в сумме 174,9 млн. сомов в расходной части на 2020 год также не предусмотрено;</w:t>
      </w:r>
    </w:p>
    <w:p>
      <w:pPr>
        <w:spacing w:after="60"/>
        <w:ind w:firstLine="567"/>
        <w:jc w:val="both"/>
      </w:pPr>
      <w:r>
        <w:rPr>
          <w:rFonts w:ascii="Arial" w:cs="Arial" w:eastAsia="Arial" w:hAnsi="Arial"/>
          <w:sz w:val="22"/>
          <w:szCs w:val="22"/>
        </w:rPr>
        <w:t xml:space="preserve">- в связи со стагнацией экономики, связанной с воздействием коронавирусной инфекции COVID-19, ожидается значительное выпадение поступления страховых взносов в Пенсионный фонд, соответственно, дефицит бюджета Социального фонда Кыргызской Республики по предварительной оценке составит 3,0 млрд. сомов. Поэтому, ожидается в 2020-2023 годы выделение дотации из республиканского бюджета Социальному фонду Кыргызской Республики.</w:t>
      </w:r>
    </w:p>
    <w:p>
      <w:pPr>
        <w:spacing w:after="60"/>
        <w:ind w:firstLine="567"/>
        <w:jc w:val="both"/>
      </w:pPr>
      <w:r>
        <w:rPr>
          <w:rFonts w:ascii="Arial" w:cs="Arial" w:eastAsia="Arial" w:hAnsi="Arial"/>
          <w:b/>
          <w:bCs/>
          <w:sz w:val="22"/>
          <w:szCs w:val="22"/>
        </w:rPr>
        <w:t xml:space="preserve">По Министерству труда и социального развития Кыргызской Республики:</w:t>
      </w:r>
    </w:p>
    <w:p>
      <w:pPr>
        <w:spacing w:after="60"/>
        <w:ind w:firstLine="567"/>
        <w:jc w:val="both"/>
      </w:pPr>
      <w:r>
        <w:rPr>
          <w:rFonts w:ascii="Arial" w:cs="Arial" w:eastAsia="Arial" w:hAnsi="Arial"/>
          <w:sz w:val="22"/>
          <w:szCs w:val="22"/>
        </w:rPr>
        <w:t xml:space="preserve">Для смягчения влияния экономического спада, связанного со стагнацией, на социальную защиту населения также потребуются дополнительные бюджетные ассигнования (по оценке 2020 года) 3004,0 млн. сомов, в том числе:</w:t>
      </w:r>
    </w:p>
    <w:p>
      <w:pPr>
        <w:spacing w:after="60"/>
        <w:ind w:firstLine="567"/>
        <w:jc w:val="both"/>
      </w:pPr>
      <w:r>
        <w:rPr>
          <w:rFonts w:ascii="Arial" w:cs="Arial" w:eastAsia="Arial" w:hAnsi="Arial"/>
          <w:sz w:val="22"/>
          <w:szCs w:val="22"/>
        </w:rPr>
        <w:t xml:space="preserve">- на выплату пособий малообеспеченным семьям, имеющим детей до 16 лет - 2712,0 млн. сомов;</w:t>
      </w:r>
    </w:p>
    <w:p>
      <w:pPr>
        <w:spacing w:after="60"/>
        <w:ind w:firstLine="567"/>
        <w:jc w:val="both"/>
      </w:pPr>
      <w:r>
        <w:rPr>
          <w:rFonts w:ascii="Arial" w:cs="Arial" w:eastAsia="Arial" w:hAnsi="Arial"/>
          <w:sz w:val="22"/>
          <w:szCs w:val="22"/>
        </w:rPr>
        <w:t xml:space="preserve">- на выплату пособий по вновь ставшими безработными - 292,0 млн. сомов.</w:t>
      </w:r>
    </w:p>
    <w:p>
      <w:pPr>
        <w:spacing w:after="60"/>
        <w:ind w:firstLine="567"/>
        <w:jc w:val="both"/>
      </w:pPr>
      <w:r>
        <w:rPr>
          <w:rFonts w:ascii="Arial" w:cs="Arial" w:eastAsia="Arial" w:hAnsi="Arial"/>
          <w:b/>
          <w:bCs/>
          <w:sz w:val="22"/>
          <w:szCs w:val="22"/>
        </w:rPr>
        <w:t xml:space="preserve">По Министерству сельского хозяйства, пищевой промышленности и мелиорации Кыргызской Республики потребуются дополнительные средства в сумме 165,6 млн. сомов, из них:</w:t>
      </w:r>
    </w:p>
    <w:p>
      <w:pPr>
        <w:spacing w:after="60"/>
        <w:ind w:firstLine="567"/>
        <w:jc w:val="both"/>
      </w:pPr>
      <w:r>
        <w:rPr>
          <w:rFonts w:ascii="Arial" w:cs="Arial" w:eastAsia="Arial" w:hAnsi="Arial"/>
          <w:sz w:val="22"/>
          <w:szCs w:val="22"/>
        </w:rPr>
        <w:t xml:space="preserve">1) 86,5 млн. сомов - на выплату государственной дотации семеноводческим хозяйствам в целях обеспечения сельских товаропроизводителей высококачественными сертифицированными семенами и посадочным материалом, согласно постановлению Правительства Кыргызской Республики "О мерах государственной поддержки развития семеноводства в Кыргызской Республике" от 13 марта 2017 года № 145;</w:t>
      </w:r>
    </w:p>
    <w:p>
      <w:pPr>
        <w:spacing w:after="60"/>
        <w:ind w:firstLine="567"/>
        <w:jc w:val="both"/>
      </w:pPr>
      <w:r>
        <w:rPr>
          <w:rFonts w:ascii="Arial" w:cs="Arial" w:eastAsia="Arial" w:hAnsi="Arial"/>
          <w:sz w:val="22"/>
          <w:szCs w:val="22"/>
        </w:rPr>
        <w:t xml:space="preserve">2) 79,1 млн. сомов, из них:</w:t>
      </w:r>
    </w:p>
    <w:p>
      <w:pPr>
        <w:spacing w:after="60"/>
        <w:ind w:firstLine="567"/>
        <w:jc w:val="both"/>
      </w:pPr>
      <w:r>
        <w:rPr>
          <w:rFonts w:ascii="Arial" w:cs="Arial" w:eastAsia="Arial" w:hAnsi="Arial"/>
          <w:sz w:val="22"/>
          <w:szCs w:val="22"/>
        </w:rPr>
        <w:t xml:space="preserve">- 30,0 млн. сомов, в целях развития производства экологически чистой сельскохозяйственной продукции и расширения экологических зон для сельского хозяйства и повышения обеспеченности биопрепаратами отечественного производства - на строительство Нарынской региональной биофабрики;</w:t>
      </w:r>
    </w:p>
    <w:p>
      <w:pPr>
        <w:spacing w:after="60"/>
        <w:ind w:firstLine="567"/>
        <w:jc w:val="both"/>
      </w:pPr>
      <w:r>
        <w:rPr>
          <w:rFonts w:ascii="Arial" w:cs="Arial" w:eastAsia="Arial" w:hAnsi="Arial"/>
          <w:sz w:val="22"/>
          <w:szCs w:val="22"/>
        </w:rPr>
        <w:t xml:space="preserve">- 7,8 млн. сомов - для капитального ремонта зданий Центральной специализированной контрольно-токсикологической лаборатории, Ошской специализированной контрольно-токсикологической лаборатории, Баткенского районного отдела химизации и защиты растений и Ошского районного отдела химизации и защиты растений в соответствии с Договором ЕАЭС;</w:t>
      </w:r>
    </w:p>
    <w:p>
      <w:pPr>
        <w:spacing w:after="60"/>
        <w:ind w:firstLine="567"/>
        <w:jc w:val="both"/>
      </w:pPr>
      <w:r>
        <w:rPr>
          <w:rFonts w:ascii="Arial" w:cs="Arial" w:eastAsia="Arial" w:hAnsi="Arial"/>
          <w:sz w:val="22"/>
          <w:szCs w:val="22"/>
        </w:rPr>
        <w:t xml:space="preserve">- 41,3 млн. сомов - для оснащения Нарынской, Баткенской и Джалал-Абадской лабораторий по карантину растений и ремонта здания Джалал-Абадского управления по карантину растений, в соответствии с распоряжением Правительства Кыргызской Республики от 8 октября 2018 года № 349-р для строительства и оснащения лабораторий по карантину растений и оснащения пунктов пропуска фитосанитарного контроля, для обеспечения карантинной фитосанитарной безопасности территории Кыргызской Республики и государств-членов ЕАЭС, а также в целях реализации пункта 105 Дорожной карты по присоединению Кыргызской Республики к ЕАЭС.</w:t>
      </w:r>
    </w:p>
    <w:p>
      <w:pPr>
        <w:spacing w:after="60" w:before="200"/>
        <w:ind w:firstLine="567"/>
        <w:jc w:val="both"/>
      </w:pPr>
      <w:r>
        <w:rPr>
          <w:rFonts w:ascii="Arial" w:cs="Arial" w:eastAsia="Arial" w:hAnsi="Arial"/>
          <w:b/>
          <w:bCs/>
          <w:sz w:val="22"/>
          <w:szCs w:val="22"/>
        </w:rPr>
        <w:t xml:space="preserve">Возможные риски, связанные с судебными разбирательствами</w:t>
      </w:r>
    </w:p>
    <w:p>
      <w:pPr>
        <w:spacing w:after="60"/>
        <w:ind w:firstLine="567"/>
        <w:jc w:val="both"/>
      </w:pPr>
      <w:r>
        <w:rPr>
          <w:rFonts w:ascii="Arial" w:cs="Arial" w:eastAsia="Arial" w:hAnsi="Arial"/>
          <w:sz w:val="22"/>
          <w:szCs w:val="22"/>
        </w:rPr>
        <w:t xml:space="preserve">Возможны риски по внутренним судебным разбирательствам, связанные с судебными спорами по следующим категориям:</w:t>
      </w:r>
    </w:p>
    <w:p>
      <w:pPr>
        <w:spacing w:after="60"/>
        <w:ind w:firstLine="567"/>
        <w:jc w:val="both"/>
      </w:pPr>
      <w:r>
        <w:rPr>
          <w:rFonts w:ascii="Arial" w:cs="Arial" w:eastAsia="Arial" w:hAnsi="Arial"/>
          <w:sz w:val="22"/>
          <w:szCs w:val="22"/>
        </w:rPr>
        <w:t xml:space="preserve">- экономические споры;</w:t>
      </w:r>
    </w:p>
    <w:p>
      <w:pPr>
        <w:spacing w:after="60"/>
        <w:ind w:firstLine="567"/>
        <w:jc w:val="both"/>
      </w:pPr>
      <w:r>
        <w:rPr>
          <w:rFonts w:ascii="Arial" w:cs="Arial" w:eastAsia="Arial" w:hAnsi="Arial"/>
          <w:sz w:val="22"/>
          <w:szCs w:val="22"/>
        </w:rPr>
        <w:t xml:space="preserve">- иски по возмещению материального ущерба и компенсации морального вреда;</w:t>
      </w:r>
    </w:p>
    <w:p>
      <w:pPr>
        <w:spacing w:after="60"/>
        <w:ind w:firstLine="567"/>
        <w:jc w:val="both"/>
      </w:pPr>
      <w:r>
        <w:rPr>
          <w:rFonts w:ascii="Arial" w:cs="Arial" w:eastAsia="Arial" w:hAnsi="Arial"/>
          <w:sz w:val="22"/>
          <w:szCs w:val="22"/>
        </w:rPr>
        <w:t xml:space="preserve">- иски пенсионеров - военнослужащих об индексации пенсии;</w:t>
      </w:r>
    </w:p>
    <w:p>
      <w:pPr>
        <w:spacing w:after="60"/>
        <w:ind w:firstLine="567"/>
        <w:jc w:val="both"/>
      </w:pPr>
      <w:r>
        <w:rPr>
          <w:rFonts w:ascii="Arial" w:cs="Arial" w:eastAsia="Arial" w:hAnsi="Arial"/>
          <w:sz w:val="22"/>
          <w:szCs w:val="22"/>
        </w:rPr>
        <w:t xml:space="preserve">- разное (восстановление на работе и взыскание заработной платы за время вынужденного прогула, признание актов Правительства Кыргызской Республики недействительными, противоречащими законодательству Кыргызской Республики);</w:t>
      </w:r>
    </w:p>
    <w:p>
      <w:pPr>
        <w:spacing w:after="60"/>
        <w:ind w:firstLine="567"/>
        <w:jc w:val="both"/>
      </w:pPr>
      <w:r>
        <w:rPr>
          <w:rFonts w:ascii="Arial" w:cs="Arial" w:eastAsia="Arial" w:hAnsi="Arial"/>
          <w:sz w:val="22"/>
          <w:szCs w:val="22"/>
        </w:rPr>
        <w:t xml:space="preserve">- уголовные дела, по которым Министерство финансов Кыргызской Республики выступает в качестве потерпевшей стороны, в случае нанесения ущерба республиканскому бюджету.</w:t>
      </w:r>
    </w:p>
    <w:p>
      <w:pPr>
        <w:spacing w:after="60"/>
        <w:ind w:firstLine="567"/>
        <w:jc w:val="both"/>
      </w:pPr>
      <w:r>
        <w:rPr>
          <w:rFonts w:ascii="Arial" w:cs="Arial" w:eastAsia="Arial" w:hAnsi="Arial"/>
          <w:sz w:val="22"/>
          <w:szCs w:val="22"/>
        </w:rPr>
        <w:t xml:space="preserve">Кроме того, возможны риски, связанные с судебными спорами в международных арбитражных судах и др.</w:t>
      </w:r>
    </w:p>
    <w:p>
      <w:pPr>
        <w:spacing w:after="200" w:before="200"/>
        <w:jc w:val="center"/>
      </w:pPr>
      <w:r>
        <w:rPr>
          <w:rFonts w:ascii="Arial" w:cs="Arial" w:eastAsia="Arial" w:hAnsi="Arial"/>
          <w:b/>
          <w:bCs/>
          <w:sz w:val="22"/>
          <w:szCs w:val="22"/>
        </w:rPr>
        <w:t xml:space="preserve">3.2. Анализ расходов государственного бюджета</w:t>
      </w:r>
    </w:p>
    <w:p>
      <w:pPr>
        <w:spacing w:after="60" w:before="200"/>
        <w:ind w:firstLine="567"/>
        <w:jc w:val="both"/>
      </w:pPr>
      <w:r>
        <w:rPr>
          <w:rFonts w:ascii="Arial" w:cs="Arial" w:eastAsia="Arial" w:hAnsi="Arial"/>
          <w:b/>
          <w:bCs/>
          <w:sz w:val="22"/>
          <w:szCs w:val="22"/>
        </w:rPr>
        <w:t xml:space="preserve">Анализ расходов государственного бюджета за 2019 год</w:t>
      </w:r>
    </w:p>
    <w:p>
      <w:pPr>
        <w:spacing w:after="60"/>
        <w:ind w:firstLine="567"/>
        <w:jc w:val="both"/>
      </w:pPr>
      <w:r>
        <w:rPr>
          <w:rFonts w:ascii="Arial" w:cs="Arial" w:eastAsia="Arial" w:hAnsi="Arial"/>
          <w:sz w:val="22"/>
          <w:szCs w:val="22"/>
        </w:rPr>
        <w:t xml:space="preserve">По итогам 2019 года расходы государственного бюджета Кыргызской Республики составили 167760,3 млн. сомов, с увеличением на 6,3% относительно 2018 года. По отношению к ВВП расходы государственного бюджета Кыргызской Республики составили 28,4%. Текущие расходы в 2019 году составили 136117,9 млн. сомов или 23,1% ВВП. Капитальные расходы в 2019 году составили 31642,4 млн. сомов или 5,4% ВВП. Из них, капитальные расходы из внутренних источников: капитальные вложения - 5641,0 млн. сомов, софинансирование государственных инвестиций - 804,0 млн. сомов и стимулирующие (долевые) гранты - 409,6 млн. сомов. За счет внешних источников в рамках государственных инвестиций (с учетом грантов) расходы составили 12724,2 млн. сомов.</w:t>
      </w:r>
    </w:p>
    <w:p>
      <w:pPr>
        <w:spacing w:after="60"/>
        <w:ind w:firstLine="567"/>
        <w:jc w:val="both"/>
      </w:pPr>
      <w:r>
        <w:rPr>
          <w:rFonts w:ascii="Arial" w:cs="Arial" w:eastAsia="Arial" w:hAnsi="Arial"/>
          <w:sz w:val="22"/>
          <w:szCs w:val="22"/>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2"/>
          <w:szCs w:val="22"/>
        </w:rPr>
        <w:t xml:space="preserve">- государственные службы общего назначения - 54098,6 млн. сомов или 31,6% общих расходов;</w:t>
      </w:r>
    </w:p>
    <w:p>
      <w:pPr>
        <w:spacing w:after="60"/>
        <w:ind w:firstLine="567"/>
        <w:jc w:val="both"/>
      </w:pPr>
      <w:r>
        <w:rPr>
          <w:rFonts w:ascii="Arial" w:cs="Arial" w:eastAsia="Arial" w:hAnsi="Arial"/>
          <w:sz w:val="22"/>
          <w:szCs w:val="22"/>
        </w:rPr>
        <w:t xml:space="preserve">- оборона, общественный порядок и безопасность - 19842,6 млн. сомов или 11,6% общих расходов;</w:t>
      </w:r>
    </w:p>
    <w:p>
      <w:pPr>
        <w:spacing w:after="60"/>
        <w:ind w:firstLine="567"/>
        <w:jc w:val="both"/>
      </w:pPr>
      <w:r>
        <w:rPr>
          <w:rFonts w:ascii="Arial" w:cs="Arial" w:eastAsia="Arial" w:hAnsi="Arial"/>
          <w:sz w:val="22"/>
          <w:szCs w:val="22"/>
        </w:rPr>
        <w:t xml:space="preserve">- реальный сектор - 37098,7 млн. сомов или 21,7% общих расходов;</w:t>
      </w:r>
    </w:p>
    <w:p>
      <w:pPr>
        <w:spacing w:after="60"/>
        <w:ind w:firstLine="567"/>
        <w:jc w:val="both"/>
      </w:pPr>
      <w:r>
        <w:rPr>
          <w:rFonts w:ascii="Arial" w:cs="Arial" w:eastAsia="Arial" w:hAnsi="Arial"/>
          <w:sz w:val="22"/>
          <w:szCs w:val="22"/>
        </w:rPr>
        <w:t xml:space="preserve">- социальный сектор - 60070,0 млн. сомов или 35,1% общих расходов, из которых: здравоохранение - 3872,5 млн. сомов, отдых, спорт, культура и религия - 4695,2 млн. сомов, образование - 39719,3 млн. сомов и социальная защита - 11724,7 млн. сомов.</w:t>
      </w:r>
    </w:p>
    <w:p>
      <w:pPr>
        <w:spacing w:after="60"/>
        <w:ind w:firstLine="567"/>
        <w:jc w:val="both"/>
      </w:pPr>
      <w:r>
        <w:rPr>
          <w:rFonts w:ascii="Arial" w:cs="Arial" w:eastAsia="Arial" w:hAnsi="Arial"/>
          <w:sz w:val="22"/>
          <w:szCs w:val="22"/>
        </w:rPr>
        <w:t xml:space="preserve">Дефицит государственного бюджета по итогам 2019 года составил 431,7 млн. сомов или 0,1% ВВП.</w:t>
      </w:r>
    </w:p>
    <w:p>
      <w:pPr>
        <w:spacing w:after="60"/>
        <w:ind w:firstLine="567"/>
        <w:jc w:val="both"/>
      </w:pPr>
      <w:r>
        <w:rPr>
          <w:rFonts w:ascii="Arial" w:cs="Arial" w:eastAsia="Arial" w:hAnsi="Arial"/>
          <w:sz w:val="22"/>
          <w:szCs w:val="22"/>
        </w:rPr>
        <w:t xml:space="preserve">Уровень государственного долга по итогам 2019 года составил 319474,6 млн. сомов или 54,1% ВВП.</w:t>
      </w:r>
    </w:p>
    <w:p>
      <w:pPr>
        <w:spacing w:after="60"/>
        <w:ind w:firstLine="567"/>
        <w:jc w:val="both"/>
      </w:pPr>
      <w:r>
        <w:rPr>
          <w:rFonts w:ascii="Arial" w:cs="Arial" w:eastAsia="Arial" w:hAnsi="Arial"/>
          <w:sz w:val="22"/>
          <w:szCs w:val="22"/>
        </w:rPr>
        <w:t xml:space="preserve">В 2019 году расходы были направлены на финансирование социальных, политически значимых, инфраструктурных мероприятий: реализацию мероприятий в рамках судебно-правовой реформы в Кыргызской Республике, капитальный ремонт, реконструкцию дорог, ликвидацию последствий стихийных бедствий, субсидии для кредитования сельскохозяйственных товаропроизводителей и другие.</w:t>
      </w:r>
    </w:p>
    <w:p>
      <w:pPr>
        <w:spacing w:after="60" w:before="200"/>
        <w:ind w:firstLine="567"/>
        <w:jc w:val="both"/>
      </w:pPr>
      <w:r>
        <w:rPr>
          <w:rFonts w:ascii="Arial" w:cs="Arial" w:eastAsia="Arial" w:hAnsi="Arial"/>
          <w:b/>
          <w:bCs/>
          <w:sz w:val="22"/>
          <w:szCs w:val="22"/>
        </w:rPr>
        <w:t xml:space="preserve">Анализ расходов государственного бюджета Кыргызской Республики в 2020 году</w:t>
      </w:r>
    </w:p>
    <w:p>
      <w:pPr>
        <w:spacing w:after="60"/>
        <w:ind w:firstLine="567"/>
        <w:jc w:val="both"/>
      </w:pPr>
      <w:r>
        <w:rPr>
          <w:rFonts w:ascii="Arial" w:cs="Arial" w:eastAsia="Arial" w:hAnsi="Arial"/>
          <w:sz w:val="22"/>
          <w:szCs w:val="22"/>
        </w:rPr>
        <w:t xml:space="preserve">Расходы государственного бюджета Кыргызской Республики на 2020 год в соответствии с Законом Кыргызской Республики от 23 декабря 2019 года № 143 прогнозируются в сумме 191677,8 млн. сомов с ростом 114,3% относительно фактического исполнения 2019 года. По отношению к ВВП расходы государственного бюджета Кыргызской Республики составляют 28,7%. Прогноз по текущим расходам в 2020 году составляет 157979,8 млн. сомов или 23,7% ВВП, капитальные расходы - 33698,0 млн. сомов или 5,1% ВВП, в том числе из внутренних источников: капитальные вложения - 3000,0 млн. сомов, софинансирование государственных инвестиций - 1413,0 млн. сомов и стимулирующие (долевые) гранты - 600,0 млн. сомов. За счет внешних источников в рамках государственных инвестиций (с учетом грантов) расходы составили 16986,3 млн. сомов.</w:t>
      </w:r>
    </w:p>
    <w:p>
      <w:pPr>
        <w:spacing w:after="60"/>
        <w:ind w:firstLine="567"/>
        <w:jc w:val="both"/>
      </w:pPr>
      <w:r>
        <w:rPr>
          <w:rFonts w:ascii="Arial" w:cs="Arial" w:eastAsia="Arial" w:hAnsi="Arial"/>
          <w:sz w:val="22"/>
          <w:szCs w:val="22"/>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2"/>
          <w:szCs w:val="22"/>
        </w:rPr>
        <w:t xml:space="preserve">- государственные службы общего назначения - 58611,2 млн. сомов или 29,3% общих расходов;</w:t>
      </w:r>
    </w:p>
    <w:p>
      <w:pPr>
        <w:spacing w:after="60"/>
        <w:ind w:firstLine="567"/>
        <w:jc w:val="both"/>
      </w:pPr>
      <w:r>
        <w:rPr>
          <w:rFonts w:ascii="Arial" w:cs="Arial" w:eastAsia="Arial" w:hAnsi="Arial"/>
          <w:sz w:val="22"/>
          <w:szCs w:val="22"/>
        </w:rPr>
        <w:t xml:space="preserve">- оборона, общественный порядок и безопасность - 22617,1 млн. сомов или 11,3% общих расходов;</w:t>
      </w:r>
    </w:p>
    <w:p>
      <w:pPr>
        <w:spacing w:after="60"/>
        <w:ind w:firstLine="567"/>
        <w:jc w:val="both"/>
      </w:pPr>
      <w:r>
        <w:rPr>
          <w:rFonts w:ascii="Arial" w:cs="Arial" w:eastAsia="Arial" w:hAnsi="Arial"/>
          <w:sz w:val="22"/>
          <w:szCs w:val="22"/>
        </w:rPr>
        <w:t xml:space="preserve">- реальный сектор - 50262,1 млн. сомов или 25,2% общих расходов;</w:t>
      </w:r>
    </w:p>
    <w:p>
      <w:pPr>
        <w:spacing w:after="60"/>
        <w:ind w:firstLine="567"/>
        <w:jc w:val="both"/>
      </w:pPr>
      <w:r>
        <w:rPr>
          <w:rFonts w:ascii="Arial" w:cs="Arial" w:eastAsia="Arial" w:hAnsi="Arial"/>
          <w:sz w:val="22"/>
          <w:szCs w:val="22"/>
        </w:rPr>
        <w:t xml:space="preserve">- социальный сектор - 68245,9 млн. сомов или 34,2% общих расходов, из которых: здравоохранение - 4776,7 млн. сомов, отдых, спорт, культура и религия - 4445,5 млн. сомов, образование - 46273,5 млн. сомов и социальная защита - 12750,2 млн. сомов.</w:t>
      </w:r>
    </w:p>
    <w:p>
      <w:pPr>
        <w:spacing w:after="60"/>
        <w:ind w:firstLine="567"/>
        <w:jc w:val="both"/>
      </w:pPr>
      <w:r>
        <w:rPr>
          <w:rFonts w:ascii="Arial" w:cs="Arial" w:eastAsia="Arial" w:hAnsi="Arial"/>
          <w:sz w:val="22"/>
          <w:szCs w:val="22"/>
        </w:rPr>
        <w:t xml:space="preserve">Дефицит государственного бюджета на 2020 год прогнозируется в сумме 7953,5 млн. сомов или 1,2% ВВП.</w:t>
      </w:r>
    </w:p>
    <w:p>
      <w:pPr>
        <w:spacing w:after="60"/>
        <w:ind w:firstLine="567"/>
        <w:jc w:val="both"/>
      </w:pPr>
      <w:r>
        <w:rPr>
          <w:rFonts w:ascii="Arial" w:cs="Arial" w:eastAsia="Arial" w:hAnsi="Arial"/>
          <w:sz w:val="22"/>
          <w:szCs w:val="22"/>
        </w:rPr>
        <w:t xml:space="preserve">Уровень государственного долга в 2020 году по состоянию на 30 июня 2020 года, составил 362,8 млрд. сомов или 62,2% ВВП.</w:t>
      </w:r>
    </w:p>
    <w:p>
      <w:pPr>
        <w:spacing w:after="60"/>
        <w:ind w:firstLine="567"/>
        <w:jc w:val="both"/>
      </w:pPr>
      <w:r>
        <w:rPr>
          <w:rFonts w:ascii="Arial" w:cs="Arial" w:eastAsia="Arial" w:hAnsi="Arial"/>
          <w:sz w:val="22"/>
          <w:szCs w:val="22"/>
        </w:rPr>
        <w:t xml:space="preserve">В 2020 году прогнозируются расходы на финансирование социальных, политически значимых, инфраструктурных мероприятий: развитие регионов, реализация "цифровой экономики", продолжение реализации судебно-правовой реформы, капитальный ремонт, реконструкция дорог, субсидии для кредитования сельскохозяйственных товаропроизводителей, повышение фонда оплаты труда отдельным категориям работников и другие.</w:t>
      </w:r>
    </w:p>
    <w:p>
      <w:pPr>
        <w:spacing w:after="60"/>
        <w:ind w:firstLine="567"/>
        <w:jc w:val="both"/>
      </w:pPr>
      <w:r>
        <w:rPr>
          <w:rFonts w:ascii="Arial" w:cs="Arial" w:eastAsia="Arial" w:hAnsi="Arial"/>
          <w:sz w:val="22"/>
          <w:szCs w:val="22"/>
        </w:rPr>
        <w:t xml:space="preserve">В связи с введением чрезвычайного положения в отдельных городах и районах республики по недопущению распространения коронавирусной инфекции на территории Кыргызской Республики возникла необходимость оптимизации расходов бюджета, обусловленной снижением налоговых поступлений на фоне падения темпов роста экономики, направления средств на приоритетные расходы здравоохранения и дополнительные выплаты по чрезвычайному бюджету, с уменьшением расходов, не являющихся приоритетными. Таким образом, были внесены изменения в утвержденный бюджет на 2020 год Законом Кыргызской Республики "О внесении изменений в Закон Кыргызской Республики "О республиканском бюджете Кыргызской Республики на 2020 год и прогнозе на 2021-2022 годы" от 8 июня 2020 года № 60.</w:t>
      </w:r>
    </w:p>
    <w:p>
      <w:pPr>
        <w:spacing w:after="60"/>
        <w:ind w:firstLine="567"/>
        <w:jc w:val="both"/>
      </w:pPr>
      <w:r>
        <w:rPr>
          <w:rFonts w:ascii="Arial" w:cs="Arial" w:eastAsia="Arial" w:hAnsi="Arial"/>
          <w:sz w:val="22"/>
          <w:szCs w:val="22"/>
        </w:rPr>
        <w:t xml:space="preserve">Общие доходы и полученные официальные трансферты государственного бюджета, согласно внесенным изменениям, составят 153882,0 млн. сомов или 26,4% ВВП, расходы государственного бюджета составят 181591,9 млн. сомов или 31,1% ВВП, дефицит бюджета составит 27692,3 млн. сомов или 4,7% ВВП.</w:t>
      </w:r>
    </w:p>
    <w:p>
      <w:pPr>
        <w:spacing w:after="60"/>
        <w:ind w:firstLine="567"/>
        <w:jc w:val="both"/>
      </w:pPr>
      <w:r>
        <w:rPr>
          <w:rFonts w:ascii="Arial" w:cs="Arial" w:eastAsia="Arial" w:hAnsi="Arial"/>
          <w:sz w:val="22"/>
          <w:szCs w:val="22"/>
        </w:rPr>
        <w:t xml:space="preserve">Уточненный бюджет на 2020 год был принят за основу при прогнозировании параметров бюджета на 2021-2023 годы.</w:t>
      </w:r>
    </w:p>
    <w:p>
      <w:pPr>
        <w:spacing w:after="60" w:before="200"/>
        <w:ind w:firstLine="567"/>
        <w:jc w:val="both"/>
      </w:pPr>
      <w:r>
        <w:rPr>
          <w:rFonts w:ascii="Arial" w:cs="Arial" w:eastAsia="Arial" w:hAnsi="Arial"/>
          <w:b/>
          <w:bCs/>
          <w:sz w:val="22"/>
          <w:szCs w:val="22"/>
        </w:rPr>
        <w:t xml:space="preserve">Оценка расходов государственного бюджета Кыргызской Республики на 2021-2023 годы</w:t>
      </w:r>
    </w:p>
    <w:p>
      <w:pPr>
        <w:spacing w:after="60"/>
        <w:ind w:firstLine="567"/>
        <w:jc w:val="both"/>
      </w:pPr>
      <w:r>
        <w:rPr>
          <w:rFonts w:ascii="Arial" w:cs="Arial" w:eastAsia="Arial" w:hAnsi="Arial"/>
          <w:sz w:val="22"/>
          <w:szCs w:val="22"/>
        </w:rPr>
        <w:t xml:space="preserve">Расходы государственного бюджета на 2021-2023 годы сформированы на основе прогноза по ресурсам (доходам), рассчитанного на основе проекта Среднесрочного прогноза социально-экономического развития Кыргызской Республики на 2021-2023 годы.</w:t>
      </w:r>
    </w:p>
    <w:p>
      <w:pPr>
        <w:spacing w:after="60"/>
        <w:ind w:firstLine="567"/>
        <w:jc w:val="both"/>
      </w:pPr>
      <w:r>
        <w:rPr>
          <w:rFonts w:ascii="Arial" w:cs="Arial" w:eastAsia="Arial" w:hAnsi="Arial"/>
          <w:sz w:val="22"/>
          <w:szCs w:val="22"/>
        </w:rPr>
        <w:t xml:space="preserve">В 2021 году расходы государственного бюджета (189,7 млрд. сомов) прогнозируются с уменьшением на 1,0% (2,0 млрд. сомов) относительно расходов утвержденного бюджета на 2020 год (191,7 млрд. сомов).</w:t>
      </w:r>
    </w:p>
    <w:p>
      <w:pPr>
        <w:spacing w:after="60"/>
        <w:ind w:firstLine="567"/>
        <w:jc w:val="both"/>
      </w:pPr>
      <w:r>
        <w:rPr>
          <w:rFonts w:ascii="Arial" w:cs="Arial" w:eastAsia="Arial" w:hAnsi="Arial"/>
          <w:sz w:val="22"/>
          <w:szCs w:val="22"/>
        </w:rPr>
        <w:t xml:space="preserve">Из них, по текущим расходам в 2021 году (155,9 млрд. сомов) прогнозируется уменьшение на 1,3% (2,1 млрд. сомов) относительно уровня расходов в 2020 году (158,0 млрд. сомов).</w:t>
      </w:r>
    </w:p>
    <w:p>
      <w:pPr>
        <w:spacing w:after="60"/>
        <w:ind w:firstLine="567"/>
        <w:jc w:val="both"/>
      </w:pPr>
      <w:r>
        <w:rPr>
          <w:rFonts w:ascii="Arial" w:cs="Arial" w:eastAsia="Arial" w:hAnsi="Arial"/>
          <w:sz w:val="22"/>
          <w:szCs w:val="22"/>
        </w:rPr>
        <w:t xml:space="preserve">В целом капитальные расходы в 2021 году прогнозируются на уровне 33,8 млрд. сомов, с увеличением на 100,5 млн. сомов относительно утвержденного бюджета на 2020 год.</w:t>
      </w:r>
    </w:p>
    <w:p>
      <w:pPr>
        <w:spacing w:after="60"/>
        <w:ind w:firstLine="567"/>
        <w:jc w:val="both"/>
      </w:pPr>
      <w:r>
        <w:rPr>
          <w:rFonts w:ascii="Arial" w:cs="Arial" w:eastAsia="Arial" w:hAnsi="Arial"/>
          <w:sz w:val="22"/>
          <w:szCs w:val="22"/>
        </w:rPr>
        <w:t xml:space="preserve">По капитальным расходам из внутренних источников на 2021 год предусмотрено:</w:t>
      </w:r>
    </w:p>
    <w:p>
      <w:pPr>
        <w:spacing w:after="60"/>
        <w:ind w:firstLine="567"/>
        <w:jc w:val="both"/>
      </w:pPr>
      <w:r>
        <w:rPr>
          <w:rFonts w:ascii="Arial" w:cs="Arial" w:eastAsia="Arial" w:hAnsi="Arial"/>
          <w:sz w:val="22"/>
          <w:szCs w:val="22"/>
        </w:rPr>
        <w:t xml:space="preserve">- капитальные вложения - 3,0 млрд. сомов;</w:t>
      </w:r>
    </w:p>
    <w:p>
      <w:pPr>
        <w:spacing w:after="60"/>
        <w:ind w:firstLine="567"/>
        <w:jc w:val="both"/>
      </w:pPr>
      <w:r>
        <w:rPr>
          <w:rFonts w:ascii="Arial" w:cs="Arial" w:eastAsia="Arial" w:hAnsi="Arial"/>
          <w:sz w:val="22"/>
          <w:szCs w:val="22"/>
        </w:rPr>
        <w:t xml:space="preserve">- софинансирование государственных инвестиций - 1,4 млрд. сомов;</w:t>
      </w:r>
    </w:p>
    <w:p>
      <w:pPr>
        <w:spacing w:after="60"/>
        <w:ind w:firstLine="567"/>
        <w:jc w:val="both"/>
      </w:pPr>
      <w:r>
        <w:rPr>
          <w:rFonts w:ascii="Arial" w:cs="Arial" w:eastAsia="Arial" w:hAnsi="Arial"/>
          <w:sz w:val="22"/>
          <w:szCs w:val="22"/>
        </w:rPr>
        <w:t xml:space="preserve">- стимулирующие (долевые) гранты - 0,6 млрд. сомов.</w:t>
      </w:r>
    </w:p>
    <w:p>
      <w:pPr>
        <w:spacing w:after="60"/>
        <w:ind w:firstLine="567"/>
        <w:jc w:val="both"/>
      </w:pPr>
      <w:r>
        <w:rPr>
          <w:rFonts w:ascii="Arial" w:cs="Arial" w:eastAsia="Arial" w:hAnsi="Arial"/>
          <w:sz w:val="22"/>
          <w:szCs w:val="22"/>
        </w:rPr>
        <w:t xml:space="preserve">Расходы государственных инвестиций из внешних источников (с учетом грантов) составят в 2021 году 19,4 млрд. сомов.</w:t>
      </w:r>
    </w:p>
    <w:p>
      <w:pPr>
        <w:spacing w:after="60"/>
        <w:ind w:firstLine="567"/>
        <w:jc w:val="both"/>
      </w:pPr>
      <w:r>
        <w:rPr>
          <w:rFonts w:ascii="Arial" w:cs="Arial" w:eastAsia="Arial" w:hAnsi="Arial"/>
          <w:sz w:val="22"/>
          <w:szCs w:val="22"/>
        </w:rPr>
        <w:t xml:space="preserve">Дефицит государственного бюджета на 2021 год прогнозируется в сумме 7038,8 млн. сомов, или 1,1% ВВП.</w:t>
      </w:r>
    </w:p>
    <w:p>
      <w:pPr>
        <w:spacing w:after="60"/>
        <w:ind w:firstLine="567"/>
        <w:jc w:val="both"/>
      </w:pPr>
      <w:r>
        <w:rPr>
          <w:rFonts w:ascii="Arial" w:cs="Arial" w:eastAsia="Arial" w:hAnsi="Arial"/>
          <w:sz w:val="22"/>
          <w:szCs w:val="22"/>
        </w:rPr>
        <w:t xml:space="preserve">Уровень государственного долга на 2021 год прогнозируется в сумме 415679,0 млн. сомов или 65,5% ВВП.</w:t>
      </w:r>
    </w:p>
    <w:p>
      <w:pPr>
        <w:spacing w:after="60"/>
        <w:ind w:firstLine="567"/>
        <w:jc w:val="both"/>
      </w:pPr>
      <w:r>
        <w:rPr>
          <w:rFonts w:ascii="Arial" w:cs="Arial" w:eastAsia="Arial" w:hAnsi="Arial"/>
          <w:sz w:val="22"/>
          <w:szCs w:val="22"/>
        </w:rPr>
        <w:t xml:space="preserve">В период 2022-2023 годов расходы государственного бюджета прогнозируются с ростом до 196,4 млрд. сомов в 2022 году и снижением до 195,1 млрд. сомов - в 2023 году.</w:t>
      </w:r>
    </w:p>
    <w:p>
      <w:pPr>
        <w:spacing w:after="60"/>
        <w:ind w:firstLine="567"/>
        <w:jc w:val="both"/>
      </w:pPr>
      <w:r>
        <w:rPr>
          <w:rFonts w:ascii="Arial" w:cs="Arial" w:eastAsia="Arial" w:hAnsi="Arial"/>
          <w:sz w:val="22"/>
          <w:szCs w:val="22"/>
        </w:rPr>
        <w:t xml:space="preserve">Капитальные расходы в 2022 году увеличатся до 36,8 млрд. сомов, а в 2023 году снизятся до 34,4 млрд. сомов за счет снижения расходов государственных инвестиций из внешних источников, которые прогнозируются в 2022 году на уровне 20,9 млрд. сомов, в 2023 году - 18,6 млрд. сомов.</w:t>
      </w:r>
    </w:p>
    <w:p>
      <w:pPr>
        <w:spacing w:after="60"/>
        <w:ind w:firstLine="567"/>
        <w:jc w:val="both"/>
      </w:pPr>
      <w:r>
        <w:rPr>
          <w:rFonts w:ascii="Arial" w:cs="Arial" w:eastAsia="Arial" w:hAnsi="Arial"/>
          <w:sz w:val="22"/>
          <w:szCs w:val="22"/>
        </w:rPr>
        <w:t xml:space="preserve">Расходы на капитальные вложения из внутренних источников составят по 3,0 млрд. сомов на 2022-2023 годы, стимулирующие (долевые) гранты - по 0,6 млрд. сомов на 2022-2023 годы, софинансирование государственных инвестиций - 1,8 млрд. сомов в 2022 году и 1,9 млрд. сомов в 2023 году. Прогнозируется снижение дефицита государственного бюджета с 4401,3 млн. сомов или 0,6% ВВП - в 2022 году до 1910,9 млн. сомов или 0,3% ВВП - в 2023 году.</w:t>
      </w:r>
    </w:p>
    <w:p>
      <w:pPr>
        <w:spacing w:after="60"/>
        <w:ind w:firstLine="567"/>
        <w:jc w:val="both"/>
      </w:pPr>
      <w:r>
        <w:rPr>
          <w:rFonts w:ascii="Arial" w:cs="Arial" w:eastAsia="Arial" w:hAnsi="Arial"/>
          <w:sz w:val="22"/>
          <w:szCs w:val="22"/>
        </w:rPr>
        <w:t xml:space="preserve">Уровень государственного долга на 2022 год прогнозируется в сумме 437942,0 млн. сомов или 63,3% ВВП, на 2023 год - в сумме 452726,0 млн. сомов или 62,6% ВВП.</w:t>
      </w:r>
    </w:p>
    <w:p>
      <w:pPr>
        <w:spacing w:after="60"/>
        <w:ind w:firstLine="567"/>
        <w:jc w:val="both"/>
      </w:pPr>
      <w:r>
        <w:rPr>
          <w:rFonts w:ascii="Arial" w:cs="Arial" w:eastAsia="Arial" w:hAnsi="Arial"/>
          <w:sz w:val="22"/>
          <w:szCs w:val="22"/>
        </w:rPr>
        <w:t xml:space="preserve">На рисунке 1 представлена динамика расходов государственного бюджета. Доля текущих расходов государственного бюджета занимает большую часть расходов государственного бюджета, что ограничивает возможности бюджета для финансирования мероприятий, направленных на обеспечение экономического роста.</w:t>
      </w:r>
    </w:p>
    <w:p>
      <w:pPr>
        <w:spacing w:after="60" w:before="200"/>
        <w:ind w:firstLine="567"/>
        <w:jc w:val="both"/>
      </w:pPr>
      <w:r>
        <w:rPr>
          <w:rFonts w:ascii="Arial" w:cs="Arial" w:eastAsia="Arial" w:hAnsi="Arial"/>
          <w:b/>
          <w:bCs/>
          <w:sz w:val="22"/>
          <w:szCs w:val="22"/>
        </w:rPr>
        <w:t xml:space="preserve">Рисунок 1. Динамика расходов государственного бюджета</w:t>
      </w:r>
    </w:p>
    <w:p>
      <w:pPr>
        <w:spacing w:after="200" w:before="200"/>
        <w:jc w:val="center"/>
      </w:pPr>
      <w:r>
        <w:rPr>
          <w:rFonts w:ascii="Arial" w:cs="Arial" w:eastAsia="Arial" w:hAnsi="Arial"/>
          <w:b/>
          <w:bCs/>
          <w:sz w:val="22"/>
          <w:szCs w:val="22"/>
        </w:rPr>
        <w:t xml:space="preserve">3.3. Проблемные вопросы в государственном бюджете</w:t>
      </w:r>
    </w:p>
    <w:p>
      <w:pPr>
        <w:spacing w:after="60"/>
        <w:ind w:firstLine="567"/>
        <w:jc w:val="both"/>
      </w:pPr>
      <w:r>
        <w:rPr>
          <w:rFonts w:ascii="Arial" w:cs="Arial" w:eastAsia="Arial" w:hAnsi="Arial"/>
          <w:sz w:val="22"/>
          <w:szCs w:val="22"/>
        </w:rPr>
        <w:t xml:space="preserve">Вследствие вспышки коронавирусной инфекции COVID-19 Правительством Кыргызской Республики на основании рекомендаций Совета безопасности Кыргызской Республики на всей территории Кыргызской Республики 22 марта 2020 года введен режим чрезвычайной ситуации.</w:t>
      </w:r>
    </w:p>
    <w:p>
      <w:pPr>
        <w:spacing w:after="60"/>
        <w:ind w:firstLine="567"/>
        <w:jc w:val="both"/>
      </w:pPr>
      <w:r>
        <w:rPr>
          <w:rFonts w:ascii="Arial" w:cs="Arial" w:eastAsia="Arial" w:hAnsi="Arial"/>
          <w:sz w:val="22"/>
          <w:szCs w:val="22"/>
        </w:rPr>
        <w:t xml:space="preserve">В целях смягчения негативных последствий от распространения коронавирусной инфекции COVID-19 и принятия превентивных мер для недопущения ее дальнейшего распространения проведена целенаправленная работа по привлечению грантовой и технической помощи и облегчению долгового бремени государственного внешнего долга Кыргызской Республики.</w:t>
      </w:r>
    </w:p>
    <w:p>
      <w:pPr>
        <w:spacing w:after="60"/>
        <w:ind w:firstLine="567"/>
        <w:jc w:val="both"/>
      </w:pPr>
      <w:r>
        <w:rPr>
          <w:rFonts w:ascii="Arial" w:cs="Arial" w:eastAsia="Arial" w:hAnsi="Arial"/>
          <w:sz w:val="22"/>
          <w:szCs w:val="22"/>
        </w:rPr>
        <w:t xml:space="preserve">Сформирован чрезвычайный бюджет, предусматривающий дополнительные расходы на меры по предотвращению распространения коронавирусной инфекции COVID-19, включающие расходы в сфере здравоохранения: на закупку медицинского оборудования и лекарственных препаратов; на материальное вознаграждение медицинского персонала, задействованного в работе по выявлению и лечению заразившихся граждан. Кроме того, дополнительные расходы были предусмотрены правоохранительным органам на мероприятия по поддержанию правопорядка в условиях карантина, круглосуточное патрулирование территорий. В части социальной защиты были предусмотрены средства на поддержку особо нуждающихся граждан.</w:t>
      </w:r>
    </w:p>
    <w:p>
      <w:pPr>
        <w:spacing w:after="60"/>
        <w:ind w:firstLine="567"/>
        <w:jc w:val="both"/>
      </w:pPr>
      <w:r>
        <w:rPr>
          <w:rFonts w:ascii="Arial" w:cs="Arial" w:eastAsia="Arial" w:hAnsi="Arial"/>
          <w:sz w:val="22"/>
          <w:szCs w:val="22"/>
        </w:rPr>
        <w:t xml:space="preserve">Необходимость в дополнительных расходах на вышеуказанные мероприятия не позволила в полной мере реализовать некоторые проекты, в основном инфраструктурные. Более того, министерствам и ведомствам, финансируемым из республиканского бюджета, были сокращены расходы на 2020 год по неприоритетным расходам, в частности, по капитальным расходам.</w:t>
      </w:r>
    </w:p>
    <w:p>
      <w:pPr>
        <w:spacing w:after="60"/>
        <w:ind w:firstLine="567"/>
        <w:jc w:val="both"/>
      </w:pPr>
      <w:r>
        <w:rPr>
          <w:rFonts w:ascii="Arial" w:cs="Arial" w:eastAsia="Arial" w:hAnsi="Arial"/>
          <w:sz w:val="22"/>
          <w:szCs w:val="22"/>
        </w:rPr>
        <w:t xml:space="preserve">Несмотря на оптимистичные прогнозы по ВВП на 2021-2023 годы, администраторы ресурсов представили прогнозы, недостаточные для сбалансированного бюджета. Кроме того, расходная часть бюджета была максимально оптимизирована, в том числе за счет общегосударственных программ. Сокращение расходов министерств и ведомств ставит под угрозу их полноценное функционирование и выполнение намеченных задач.</w:t>
      </w:r>
    </w:p>
    <w:p>
      <w:pPr>
        <w:spacing w:after="200" w:before="200"/>
        <w:jc w:val="center"/>
      </w:pPr>
      <w:r>
        <w:rPr>
          <w:rFonts w:ascii="Arial" w:cs="Arial" w:eastAsia="Arial" w:hAnsi="Arial"/>
          <w:b/>
          <w:bCs/>
          <w:sz w:val="22"/>
          <w:szCs w:val="22"/>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2"/>
          <w:szCs w:val="22"/>
        </w:rPr>
        <w:t xml:space="preserve">Целью среднесрочной фискальной политики является обеспечение стабильного экономического роста и сохранение устойчивости государственного бюджета.</w:t>
      </w:r>
    </w:p>
    <w:p>
      <w:pPr>
        <w:spacing w:after="60"/>
        <w:ind w:firstLine="567"/>
        <w:jc w:val="both"/>
      </w:pPr>
      <w:r>
        <w:rPr>
          <w:rFonts w:ascii="Arial" w:cs="Arial" w:eastAsia="Arial" w:hAnsi="Arial"/>
          <w:sz w:val="22"/>
          <w:szCs w:val="22"/>
        </w:rPr>
        <w:t xml:space="preserve">Для упрочения макроэкономической стабильности необходимо, чтобы дефицит бюджета в среднесрочной перспективе не превышал 3,0% ВВП.</w:t>
      </w:r>
    </w:p>
    <w:p>
      <w:pPr>
        <w:spacing w:after="60"/>
        <w:ind w:firstLine="567"/>
        <w:jc w:val="both"/>
      </w:pPr>
      <w:r>
        <w:rPr>
          <w:rFonts w:ascii="Arial" w:cs="Arial" w:eastAsia="Arial" w:hAnsi="Arial"/>
          <w:sz w:val="22"/>
          <w:szCs w:val="22"/>
        </w:rPr>
        <w:t xml:space="preserve">Необходимо придерживаться параметров государственного долга, установленных в республиканском бюджете, а также того, что новые внешние заимствования должны быть эффективными и привлекаться только на наиболее приоритетные программы и проекты.</w:t>
      </w:r>
    </w:p>
    <w:p>
      <w:pPr>
        <w:spacing w:after="60"/>
        <w:ind w:firstLine="567"/>
        <w:jc w:val="both"/>
      </w:pPr>
      <w:r>
        <w:rPr>
          <w:rFonts w:ascii="Arial" w:cs="Arial" w:eastAsia="Arial" w:hAnsi="Arial"/>
          <w:sz w:val="22"/>
          <w:szCs w:val="22"/>
        </w:rPr>
        <w:t xml:space="preserve">В период 2021-2023 годов политика в сфере государственных финансов будет направлена на обеспечение эффективного и прозрачного управления государственными финансами. Реализация данной политики будет осуществляться путем совершенствования управления государственными финансами. С этой целью разработан среднесрочный план действий по управлению государственными финансами на 2017-2025 годы, утвержденный постановлением Правительства Кыргызской Республики от 22 декабря 2016 года № 696. Данный план действий предполагает меры по повышению эффективности использования государственных средств, такие, как усиление финансовой дисциплины, совершенствование планирования бюджета, децентрализация межбюджетных отношений, автоматизация бюджетного процесса, пошаговое внедрение программного бюджетирования, внедрение мониторинга результативности деятельности государственных органов, повышение прозрачности государственных финансов.</w:t>
      </w:r>
    </w:p>
    <w:p>
      <w:pPr>
        <w:spacing w:after="60"/>
        <w:ind w:firstLine="567"/>
        <w:jc w:val="both"/>
      </w:pPr>
      <w:r>
        <w:rPr>
          <w:rFonts w:ascii="Arial" w:cs="Arial" w:eastAsia="Arial" w:hAnsi="Arial"/>
          <w:sz w:val="22"/>
          <w:szCs w:val="22"/>
        </w:rPr>
        <w:t xml:space="preserve">Особое внимание будет уделено следующим направлениям:</w:t>
      </w:r>
    </w:p>
    <w:p>
      <w:pPr>
        <w:spacing w:after="60"/>
        <w:ind w:firstLine="567"/>
        <w:jc w:val="both"/>
      </w:pPr>
      <w:r>
        <w:rPr>
          <w:rFonts w:ascii="Arial" w:cs="Arial" w:eastAsia="Arial" w:hAnsi="Arial"/>
          <w:sz w:val="22"/>
          <w:szCs w:val="22"/>
        </w:rPr>
        <w:t xml:space="preserve">- укрепление финансовой дисциплины, четкая приоритезация расходов министерств, ведомств и направление государственных средств на достижение конкретных результатов;</w:t>
      </w:r>
    </w:p>
    <w:p>
      <w:pPr>
        <w:spacing w:after="60"/>
        <w:ind w:firstLine="567"/>
        <w:jc w:val="both"/>
      </w:pPr>
      <w:r>
        <w:rPr>
          <w:rFonts w:ascii="Arial" w:cs="Arial" w:eastAsia="Arial" w:hAnsi="Arial"/>
          <w:sz w:val="22"/>
          <w:szCs w:val="22"/>
        </w:rPr>
        <w:t xml:space="preserve">- повышение эффективности использования государственных ресурсов, обеспечение сбалансированности республиканского бюджета, исполнение реалистичного бюджета;</w:t>
      </w:r>
    </w:p>
    <w:p>
      <w:pPr>
        <w:spacing w:after="60"/>
        <w:ind w:firstLine="567"/>
        <w:jc w:val="both"/>
      </w:pPr>
      <w:r>
        <w:rPr>
          <w:rFonts w:ascii="Arial" w:cs="Arial" w:eastAsia="Arial" w:hAnsi="Arial"/>
          <w:sz w:val="22"/>
          <w:szCs w:val="22"/>
        </w:rPr>
        <w:t xml:space="preserve">- дальнейшее реформирование системы государственного управления;</w:t>
      </w:r>
    </w:p>
    <w:p>
      <w:pPr>
        <w:spacing w:after="60"/>
        <w:ind w:firstLine="567"/>
        <w:jc w:val="both"/>
      </w:pPr>
      <w:r>
        <w:rPr>
          <w:rFonts w:ascii="Arial" w:cs="Arial" w:eastAsia="Arial" w:hAnsi="Arial"/>
          <w:sz w:val="22"/>
          <w:szCs w:val="22"/>
        </w:rPr>
        <w:t xml:space="preserve">- совершенствование бюджетного законодательства;</w:t>
      </w:r>
    </w:p>
    <w:p>
      <w:pPr>
        <w:spacing w:after="60"/>
        <w:ind w:firstLine="567"/>
        <w:jc w:val="both"/>
      </w:pPr>
      <w:r>
        <w:rPr>
          <w:rFonts w:ascii="Arial" w:cs="Arial" w:eastAsia="Arial" w:hAnsi="Arial"/>
          <w:sz w:val="22"/>
          <w:szCs w:val="22"/>
        </w:rPr>
        <w:t xml:space="preserve">- сдерживание принятия новых расходных инициатив министерств и ведомств, не имеющих соответствующего подкрепления;</w:t>
      </w:r>
    </w:p>
    <w:p>
      <w:pPr>
        <w:spacing w:after="60"/>
        <w:ind w:firstLine="567"/>
        <w:jc w:val="both"/>
      </w:pPr>
      <w:r>
        <w:rPr>
          <w:rFonts w:ascii="Arial" w:cs="Arial" w:eastAsia="Arial" w:hAnsi="Arial"/>
          <w:sz w:val="22"/>
          <w:szCs w:val="22"/>
        </w:rPr>
        <w:t xml:space="preserve">- совершенствование межбюджетных отношений, обеспечение минимальных стандартов услуг на местах.</w:t>
      </w:r>
    </w:p>
    <w:p>
      <w:pPr>
        <w:spacing w:after="200" w:before="200"/>
        <w:jc w:val="center"/>
      </w:pPr>
      <w:r>
        <w:rPr>
          <w:rFonts w:ascii="Arial" w:cs="Arial" w:eastAsia="Arial" w:hAnsi="Arial"/>
          <w:b/>
          <w:bCs/>
          <w:sz w:val="22"/>
          <w:szCs w:val="22"/>
        </w:rPr>
        <w:t xml:space="preserve">4. Стратегия управления государственным долгом</w:t>
      </w:r>
    </w:p>
    <w:p>
      <w:pPr>
        <w:spacing w:after="200" w:before="200"/>
        <w:jc w:val="center"/>
      </w:pPr>
      <w:r>
        <w:rPr>
          <w:rFonts w:ascii="Arial" w:cs="Arial" w:eastAsia="Arial" w:hAnsi="Arial"/>
          <w:b/>
          <w:bCs/>
          <w:sz w:val="22"/>
          <w:szCs w:val="22"/>
        </w:rPr>
        <w:t xml:space="preserve">4.1. Анализ обслуживания государственного долга Кыргызской Республики за 2018-2019 годы</w:t>
      </w:r>
    </w:p>
    <w:p>
      <w:pPr>
        <w:spacing w:after="60"/>
        <w:ind w:firstLine="567"/>
        <w:jc w:val="both"/>
      </w:pPr>
      <w:r>
        <w:rPr>
          <w:rFonts w:ascii="Arial" w:cs="Arial" w:eastAsia="Arial" w:hAnsi="Arial"/>
          <w:sz w:val="22"/>
          <w:szCs w:val="22"/>
        </w:rPr>
        <w:t xml:space="preserve">Ресурсы бюджета. В 2018-2019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Поступление средств от размещения ГЦБ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1254"/>
        <w:gridCol w:w="1236"/>
        <w:gridCol w:w="1478"/>
        <w:gridCol w:w="1254"/>
        <w:gridCol w:w="1236"/>
        <w:gridCol w:w="1478"/>
      </w:tblGrid>
      <w:tr>
        <w:tc>
          <w:tcPr>
            <w:tcW w:type="dxa" w:w="2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Источник поступлений</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Выпуск ГКВ</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2481,9</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-1973,1</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5315,1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2990,2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Выпуск ГКО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15865,8</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5470,8</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13175,0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9577,3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-3597,7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14850,0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18347,7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3497,7</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15500,0</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14892,4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-607,5</w:t>
            </w:r>
          </w:p>
        </w:tc>
      </w:tr>
    </w:tbl>
    <w:p>
      <w:pPr>
        <w:spacing w:after="60"/>
        <w:ind w:firstLine="567"/>
        <w:jc w:val="both"/>
      </w:pPr>
      <w:r>
        <w:rPr>
          <w:rFonts w:ascii="Arial" w:cs="Arial" w:eastAsia="Arial" w:hAnsi="Arial"/>
          <w:sz w:val="22"/>
          <w:szCs w:val="22"/>
        </w:rPr>
        <w:t xml:space="preserve">Законом Кыргызской Республики "О внесении изменений в Закон Кыргызской Республики "О республиканском бюджете Кыргызской Республики на 2019 год и прогнозе на 2020-2021 годы" от 23 декабря 2019 года № 142 прогнозные данные по поступлениям от выпуска и размещения ГЦБ на 2019 год были установлены в объеме 14898,7 млн. сомов (ГКВ - 5315,1 млн. сомов, ГКО - 9583,5 млн. сомов), т.е. снижены на 601,3 млн. сомов. Фактически за 2019 год поступление средств в республиканский бюджет от размещения ГЦБ составило 14892,5 млн. сомов, в том числе по ГКВ - 5315,2 млн. сомов и ГКО - 9577,3 млн. сомов или 96,1% показателя утвержденного бюджета, или 100,0% показателя уточненного бюджета.</w:t>
      </w:r>
    </w:p>
    <w:p>
      <w:pPr>
        <w:spacing w:after="60"/>
        <w:ind w:firstLine="567"/>
        <w:jc w:val="both"/>
      </w:pPr>
      <w:r>
        <w:rPr>
          <w:rFonts w:ascii="Arial" w:cs="Arial" w:eastAsia="Arial" w:hAnsi="Arial"/>
          <w:sz w:val="22"/>
          <w:szCs w:val="22"/>
        </w:rPr>
        <w:t xml:space="preserve">В связи с отсутствием спроса и недостаточным количеством участников торгов по покупке ГЦБ, в течение отчетного периода план поступлений от выпуска долгосрочных ГЦБ был пересмотрен в сторону снижения.</w:t>
      </w:r>
    </w:p>
    <w:p>
      <w:pPr>
        <w:spacing w:after="60"/>
        <w:ind w:firstLine="567"/>
        <w:jc w:val="both"/>
      </w:pPr>
      <w:r>
        <w:rPr>
          <w:rFonts w:ascii="Arial" w:cs="Arial" w:eastAsia="Arial" w:hAnsi="Arial"/>
          <w:sz w:val="22"/>
          <w:szCs w:val="22"/>
        </w:rPr>
        <w:t xml:space="preserve">В целях исполнения республиканского бюджета, со второго полугодия 2019 года был возобновлен выпуск 3-х и 6-ти месячных ГКВ. При этом необходимо отметить, что чистое финансирование по ГЦБ за отчетный период было положительным и составило 4813,6 млн. сомов.</w:t>
      </w:r>
    </w:p>
    <w:p>
      <w:pPr>
        <w:spacing w:after="60"/>
        <w:ind w:firstLine="567"/>
        <w:jc w:val="both"/>
      </w:pPr>
      <w:r>
        <w:rPr>
          <w:rFonts w:ascii="Arial" w:cs="Arial" w:eastAsia="Arial" w:hAnsi="Arial"/>
          <w:sz w:val="22"/>
          <w:szCs w:val="22"/>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200"/>
        <w:ind w:firstLine="567"/>
        <w:jc w:val="both"/>
      </w:pPr>
      <w:r>
        <w:rPr>
          <w:rFonts w:ascii="Arial" w:cs="Arial" w:eastAsia="Arial" w:hAnsi="Arial"/>
          <w:b/>
          <w:bCs/>
          <w:sz w:val="22"/>
          <w:szCs w:val="22"/>
        </w:rPr>
        <w:t xml:space="preserve">Рисунок 2. Структура заимствования посредством выпуска и размещения ГЦБ за 2018-2019 годы</w:t>
      </w:r>
    </w:p>
    <w:p>
      <w:pPr>
        <w:spacing w:after="60"/>
        <w:ind w:firstLine="567"/>
        <w:jc w:val="both"/>
      </w:pPr>
      <w:r>
        <w:rPr>
          <w:rFonts w:ascii="Arial" w:cs="Arial" w:eastAsia="Arial" w:hAnsi="Arial"/>
          <w:sz w:val="22"/>
          <w:szCs w:val="22"/>
        </w:rPr>
        <w:t xml:space="preserve">Средневзвешенные годовые значения доходности(3) по ГЦБ, размещенным на аукционной основе, представлены в следующей таблице: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Средневзвешенные годовые значения доходности по ГЦБ</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3887"/>
        <w:gridCol w:w="3954"/>
        <w:gridCol w:w="1049"/>
      </w:tblGrid>
      <w:tr>
        <w:tc>
          <w:tcPr>
            <w:tcW w:type="dxa" w:w="12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 ГЦБ</w:t>
            </w:r>
          </w:p>
        </w:tc>
        <w:tc>
          <w:tcPr>
            <w:tcW w:type="dxa" w:w="3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Средние значения годовой доходности 2018 г.</w:t>
            </w:r>
          </w:p>
        </w:tc>
        <w:tc>
          <w:tcPr>
            <w:tcW w:type="dxa" w:w="3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Средневзвешенная годовая доходность 2019 г.</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Изменения</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12-мес. ГКВ</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↓1,17 %</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↓0,45%</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↓0,46%</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10-летние ГКО</w:t>
            </w:r>
          </w:p>
        </w:tc>
        <w:tc>
          <w:tcPr>
            <w:tcW w:type="dxa" w:w="3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15,63%</w:t>
            </w:r>
          </w:p>
        </w:tc>
        <w:tc>
          <w:tcPr>
            <w:tcW w:type="dxa" w:w="3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bl>
    <w:p>
      <w:pPr>
        <w:spacing w:after="60" w:before="120"/>
        <w:ind w:firstLine="567"/>
        <w:jc w:val="both"/>
      </w:pPr>
      <w:r>
        <w:rPr>
          <w:rFonts w:ascii="Arial" w:cs="Arial" w:eastAsia="Arial" w:hAnsi="Arial"/>
          <w:sz w:val="22"/>
          <w:szCs w:val="22"/>
        </w:rPr>
        <w:t xml:space="preserve">За период с 2018 по 2019 год ставки доходности по ГКВ и ГКО значительно снизились практически по всем видам ГЦБ.</w:t>
      </w:r>
    </w:p>
    <w:p>
      <w:pPr>
        <w:spacing w:after="60"/>
        <w:ind w:firstLine="567"/>
        <w:jc w:val="both"/>
      </w:pPr>
      <w:r>
        <w:rPr>
          <w:rFonts w:ascii="Arial" w:cs="Arial" w:eastAsia="Arial" w:hAnsi="Arial"/>
          <w:sz w:val="22"/>
          <w:szCs w:val="22"/>
        </w:rPr>
        <w:t xml:space="preserve">В связи с предлагаемым со стороны участников высоким уровнем доходности практически по всем видам ГКО, а также с недостаточным количеством участников торгов, в течение отчетного периода были отменены несколько аукционов. В связи с чем было возобновлено размещение 3-6 месячных ГКВ, пользующихся большим спросом.</w:t>
      </w:r>
    </w:p>
    <w:p>
      <w:pPr>
        <w:spacing w:after="60"/>
        <w:ind w:firstLine="567"/>
        <w:jc w:val="both"/>
      </w:pPr>
      <w:r>
        <w:rPr>
          <w:rFonts w:ascii="Arial" w:cs="Arial" w:eastAsia="Arial" w:hAnsi="Arial"/>
          <w:sz w:val="22"/>
          <w:szCs w:val="22"/>
        </w:rPr>
        <w:t xml:space="preserve">Расходы бюджета. Расходы на обслуживание государственного долга Кыргызской Республики представлены в таблице 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before="200"/>
        <w:jc w:val="center"/>
      </w:pPr>
      <w:r>
        <w:rPr>
          <w:rFonts w:ascii="Arial" w:cs="Arial" w:eastAsia="Arial" w:hAnsi="Arial"/>
          <w:b/>
          <w:bCs/>
          <w:sz w:val="22"/>
          <w:szCs w:val="22"/>
        </w:rPr>
        <w:t xml:space="preserve">Расходы на обслуживание государственного долга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6"/>
        <w:gridCol w:w="1350"/>
        <w:gridCol w:w="1325"/>
        <w:gridCol w:w="1506"/>
        <w:gridCol w:w="1350"/>
        <w:gridCol w:w="1325"/>
        <w:gridCol w:w="1506"/>
      </w:tblGrid>
      <w:tr>
        <w:tc>
          <w:tcPr>
            <w:tcW w:type="dxa" w:w="18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7082,8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8048,1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-136,2</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714,1</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4033,5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271,1</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4308,9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-611,6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-407,3</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18612,6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16664,9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-1947,7</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20278,9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20210,8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-68,1</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8419,4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-1420,9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9898,4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10078,9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180,5</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Внешний долг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8772,3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-526,8</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10380,5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-248,6</w:t>
            </w:r>
          </w:p>
        </w:tc>
      </w:tr>
      <w:tr>
        <w:tc>
          <w:tcPr>
            <w:tcW w:type="dxa" w:w="18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25592,9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23747,7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-1845,2</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28327,0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28122,7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-204,3</w:t>
            </w:r>
          </w:p>
        </w:tc>
      </w:tr>
    </w:tbl>
    <w:p>
      <w:pPr>
        <w:spacing w:after="60" w:before="120"/>
        <w:ind w:firstLine="567"/>
        <w:jc w:val="both"/>
      </w:pPr>
      <w:r>
        <w:rPr>
          <w:rFonts w:ascii="Arial" w:cs="Arial" w:eastAsia="Arial" w:hAnsi="Arial"/>
          <w:sz w:val="22"/>
          <w:szCs w:val="22"/>
        </w:rPr>
        <w:t xml:space="preserve">Внешний долг. Расходы на обслуживание государственного внешнего долга Кыргызской Республики представлены в таблице 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Расходы на обслуживание государственного внешнего
 долга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1219"/>
        <w:gridCol w:w="1205"/>
        <w:gridCol w:w="1506"/>
        <w:gridCol w:w="1219"/>
        <w:gridCol w:w="1205"/>
        <w:gridCol w:w="1506"/>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4308,9</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-611,6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4285,7</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-407,3</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Двусторонние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3045,3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2735,7</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3079,9</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-299,9</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Многосторонние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1263,6</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1205,8</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8772,3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8245,5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-526,8</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10380,5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-248,6</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Двусторонние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2626,1</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3822,2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Многосторонние кредиты</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5619,4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6558,3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6332,5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13081,2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11942,8</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-1138,4</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14666,2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14010,3</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-655,9</w:t>
            </w:r>
          </w:p>
        </w:tc>
      </w:tr>
    </w:tbl>
    <w:p>
      <w:pPr>
        <w:spacing w:after="60" w:before="120"/>
        <w:ind w:firstLine="567"/>
        <w:jc w:val="both"/>
      </w:pPr>
      <w:r>
        <w:rPr>
          <w:rFonts w:ascii="Arial" w:cs="Arial" w:eastAsia="Arial" w:hAnsi="Arial"/>
          <w:sz w:val="22"/>
          <w:szCs w:val="22"/>
        </w:rPr>
        <w:t xml:space="preserve">Основной причиной отклонения фактических расходов на обслуживание государственного внешнего долга над прогнозными показателями явилась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60"/>
        <w:ind w:firstLine="567"/>
        <w:jc w:val="both"/>
      </w:pPr>
      <w:r>
        <w:rPr>
          <w:rFonts w:ascii="Arial" w:cs="Arial" w:eastAsia="Arial" w:hAnsi="Arial"/>
          <w:sz w:val="22"/>
          <w:szCs w:val="22"/>
        </w:rPr>
        <w:t xml:space="preserve">В 2019 году порядка 78% всех платежей произведены в долларах США. В отчетном периоде в долларах США обслуживались как кредиты, номинированные в данной валюте, так и займы, представленные в кувейтских динарах, китайских юанях, дирхамах ОАЭ, саудовских риялах и номинированные в условных платежных средствах (СДР, Исламский динар). Оставшаяся часть операций была распределена между евро, японской йеной, корейской воной и по кредитам МВФ в СДР.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2"/>
          <w:szCs w:val="22"/>
        </w:rPr>
        <w:t xml:space="preserve">Внутренний долг. Расходы на обслуживание государственного внутреннего долга Кыргызской Республики представлены в таблице 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Расходы на обслуживание государственного внутреннего
 долга Кыргызской Республики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9"/>
        <w:gridCol w:w="1268"/>
        <w:gridCol w:w="1250"/>
        <w:gridCol w:w="1517"/>
        <w:gridCol w:w="1268"/>
        <w:gridCol w:w="1250"/>
        <w:gridCol w:w="1517"/>
      </w:tblGrid>
      <w:tr>
        <w:tc>
          <w:tcPr>
            <w:tcW w:type="dxa" w:w="21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Расходы</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(План)</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(Факт)</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(План)</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Отклонения</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4033,5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271,1</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Краткосрочные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154,6</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Долгосрочные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2456,0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3230,9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774,9</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3870,1</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Индексация вкладов</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8419,4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-1420,9</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9898,4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10078,9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Краткосрочные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3798,0</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1180,5</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Долгосрочные ГЦБ</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5686,3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7280,9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6280,9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1000,0</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12511,6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11804,9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-706,7</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13660,8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14112,4</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451,6</w:t>
            </w:r>
          </w:p>
        </w:tc>
      </w:tr>
    </w:tbl>
    <w:p>
      <w:pPr>
        <w:spacing w:after="60" w:before="120"/>
        <w:ind w:firstLine="567"/>
        <w:jc w:val="both"/>
      </w:pPr>
      <w:r>
        <w:rPr>
          <w:rFonts w:ascii="Arial" w:cs="Arial" w:eastAsia="Arial" w:hAnsi="Arial"/>
          <w:sz w:val="22"/>
          <w:szCs w:val="22"/>
        </w:rPr>
        <w:t xml:space="preserve">Основной причиной отклонения фактических расходов по выплате процентов от запланированных показателей за рассматриваемый период являлось:</w:t>
      </w:r>
    </w:p>
    <w:p>
      <w:pPr>
        <w:spacing w:after="60"/>
        <w:ind w:firstLine="567"/>
        <w:jc w:val="both"/>
      </w:pPr>
      <w:r>
        <w:rPr>
          <w:rFonts w:ascii="Arial" w:cs="Arial" w:eastAsia="Arial" w:hAnsi="Arial"/>
          <w:sz w:val="22"/>
          <w:szCs w:val="22"/>
        </w:rPr>
        <w:t xml:space="preserve">- осуществление корректировки структуры и календаря эмиссии ГЦБ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2"/>
          <w:szCs w:val="22"/>
        </w:rPr>
        <w:t xml:space="preserve">В 2019 году отклонение фактических расходов по погашению основной суммы и процентов по краткосрочным ГЦБ от плановых показателей обусловлено следующим:</w:t>
      </w:r>
    </w:p>
    <w:p>
      <w:pPr>
        <w:spacing w:after="60"/>
        <w:ind w:firstLine="567"/>
        <w:jc w:val="both"/>
      </w:pPr>
      <w:r>
        <w:rPr>
          <w:rFonts w:ascii="Arial" w:cs="Arial" w:eastAsia="Arial" w:hAnsi="Arial"/>
          <w:sz w:val="22"/>
          <w:szCs w:val="22"/>
        </w:rPr>
        <w:t xml:space="preserve">- внесением изменений в структуру календаря эмиссии по ГЦБ посредством замещения выпусков ГКО выпусками ГКВ.</w:t>
      </w:r>
    </w:p>
    <w:p>
      <w:pPr>
        <w:spacing w:after="60"/>
        <w:ind w:firstLine="567"/>
        <w:jc w:val="both"/>
      </w:pPr>
      <w:r>
        <w:rPr>
          <w:rFonts w:ascii="Arial" w:cs="Arial" w:eastAsia="Arial" w:hAnsi="Arial"/>
          <w:sz w:val="22"/>
          <w:szCs w:val="22"/>
        </w:rPr>
        <w:t xml:space="preserve">Так, со второго полугодия 2019 года было возобновлено размещение ГКВ со сроком обращения 3-х и 6-ти месяцев.</w:t>
      </w:r>
    </w:p>
    <w:p>
      <w:pPr>
        <w:spacing w:after="60"/>
        <w:ind w:firstLine="567"/>
        <w:jc w:val="both"/>
      </w:pPr>
      <w:r>
        <w:rPr>
          <w:rFonts w:ascii="Arial" w:cs="Arial" w:eastAsia="Arial" w:hAnsi="Arial"/>
          <w:sz w:val="22"/>
          <w:szCs w:val="22"/>
        </w:rPr>
        <w:t xml:space="preserve">Отклонение по выплате процентов по государственным долгосрочным ценным бумагам в сторону увеличения в 2019 году сложилось в связи с тем, что в конце 2018 года был увеличен выпуск долгосрочных ГЦБ, что соответственно повлияло на обслуживание долга долгосрочных ГЦБ в отчетном году.</w:t>
      </w:r>
    </w:p>
    <w:p>
      <w:pPr>
        <w:spacing w:after="60" w:before="200"/>
        <w:ind w:firstLine="567"/>
        <w:jc w:val="both"/>
      </w:pPr>
      <w:r>
        <w:rPr>
          <w:rFonts w:ascii="Arial" w:cs="Arial" w:eastAsia="Arial" w:hAnsi="Arial"/>
          <w:b/>
          <w:bCs/>
          <w:sz w:val="22"/>
          <w:szCs w:val="22"/>
        </w:rPr>
        <w:t xml:space="preserve">Рисунок 3. Структура платежей по обслуживанию внутреннего долга в разрезе держателей ГЦБ за 2018-2019 годы (млн. сомов)</w:t>
      </w:r>
    </w:p>
    <w:p>
      <w:pPr>
        <w:spacing w:after="60"/>
        <w:ind w:firstLine="567"/>
        <w:jc w:val="both"/>
      </w:pPr>
      <w:r>
        <w:rPr>
          <w:rFonts w:ascii="Arial" w:cs="Arial" w:eastAsia="Arial" w:hAnsi="Arial"/>
          <w:sz w:val="22"/>
          <w:szCs w:val="22"/>
        </w:rPr>
        <w:t xml:space="preserve">Как видно из представленных диаграмм, более 99,0% расходов по внутреннему долгу приходится на обслуживание ГЦБ, держателями которых являются юридические лица, около 1,0% расходов составляют платежи по обслуживанию долга по ГЦБ перед НБКР.</w:t>
      </w:r>
    </w:p>
    <w:p>
      <w:pPr>
        <w:spacing w:after="60" w:before="200"/>
        <w:ind w:firstLine="567"/>
        <w:jc w:val="both"/>
      </w:pPr>
      <w:r>
        <w:rPr>
          <w:rFonts w:ascii="Arial" w:cs="Arial" w:eastAsia="Arial" w:hAnsi="Arial"/>
          <w:b/>
          <w:bCs/>
          <w:sz w:val="22"/>
          <w:szCs w:val="22"/>
        </w:rPr>
        <w:t xml:space="preserve">Государственный долг Кыргызской Республики на конец 2019 года</w:t>
      </w:r>
    </w:p>
    <w:p>
      <w:pPr>
        <w:spacing w:after="60"/>
        <w:ind w:firstLine="567"/>
        <w:jc w:val="both"/>
      </w:pPr>
      <w:r>
        <w:rPr>
          <w:rFonts w:ascii="Arial" w:cs="Arial" w:eastAsia="Arial" w:hAnsi="Arial"/>
          <w:sz w:val="22"/>
          <w:szCs w:val="22"/>
        </w:rPr>
        <w:t xml:space="preserve">По состоянию на 31 декабря 2019 года, размер государственного долга Кыргызской Республики составил 4587,26 млн. долларов США (319474,64 млн. сомов), из них:</w:t>
      </w:r>
    </w:p>
    <w:p>
      <w:pPr>
        <w:spacing w:after="60"/>
        <w:ind w:firstLine="567"/>
        <w:jc w:val="both"/>
      </w:pPr>
      <w:r>
        <w:rPr>
          <w:rFonts w:ascii="Arial" w:cs="Arial" w:eastAsia="Arial" w:hAnsi="Arial"/>
          <w:sz w:val="22"/>
          <w:szCs w:val="22"/>
        </w:rPr>
        <w:t xml:space="preserve">- 83,9% составляет государственный внешний долг: 3850,73 млн. долларов США (268179,79 млн. сомов);</w:t>
      </w:r>
    </w:p>
    <w:p>
      <w:pPr>
        <w:spacing w:after="60"/>
        <w:ind w:firstLine="567"/>
        <w:jc w:val="both"/>
      </w:pPr>
      <w:r>
        <w:rPr>
          <w:rFonts w:ascii="Arial" w:cs="Arial" w:eastAsia="Arial" w:hAnsi="Arial"/>
          <w:sz w:val="22"/>
          <w:szCs w:val="22"/>
        </w:rPr>
        <w:t xml:space="preserve">- 16,1% составляет государственный внутренний долг: 736,53 млн. долларов США (51294,85 млн. сомов).</w:t>
      </w:r>
    </w:p>
    <w:p>
      <w:pPr>
        <w:spacing w:after="60"/>
        <w:ind w:firstLine="567"/>
        <w:jc w:val="both"/>
      </w:pPr>
      <w:r>
        <w:rPr>
          <w:rFonts w:ascii="Arial" w:cs="Arial" w:eastAsia="Arial" w:hAnsi="Arial"/>
          <w:sz w:val="22"/>
          <w:szCs w:val="22"/>
        </w:rPr>
        <w:t xml:space="preserve">По предварительным данным, соотношение государственного внешнего долга Кыргызской Республики к ВВП за 2019 год составило 45,5%. Всего государственный долг (внешний + внутренний) к ВВП за 2019 год составил 54,1%.</w:t>
      </w:r>
    </w:p>
    <w:p>
      <w:pPr>
        <w:spacing w:after="200" w:before="200"/>
        <w:jc w:val="center"/>
      </w:pPr>
      <w:r>
        <w:rPr>
          <w:rFonts w:ascii="Arial" w:cs="Arial" w:eastAsia="Arial" w:hAnsi="Arial"/>
          <w:b/>
          <w:bCs/>
          <w:sz w:val="22"/>
          <w:szCs w:val="22"/>
        </w:rPr>
        <w:t xml:space="preserve">Обслуживание государственного долга в 2021-2023 годах. Тенденции и динамика внешнего долга за прошлые периоды</w:t>
      </w:r>
    </w:p>
    <w:p>
      <w:pPr>
        <w:spacing w:after="60"/>
        <w:ind w:firstLine="567"/>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внешнего долга за прошлые
 периоды (в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5"/>
        <w:gridCol w:w="1101"/>
        <w:gridCol w:w="1101"/>
        <w:gridCol w:w="1101"/>
        <w:gridCol w:w="1101"/>
        <w:gridCol w:w="1097"/>
      </w:tblGrid>
      <w:tr>
        <w:tc>
          <w:tcPr>
            <w:tcW w:type="dxa" w:w="46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Государственный внешний долг</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273320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259110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281542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267229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268180</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20302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24449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13102</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включая:</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14010</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3878</w:t>
            </w:r>
          </w:p>
        </w:tc>
      </w:tr>
      <w:tr>
        <w:tc>
          <w:tcPr>
            <w:tcW w:type="dxa" w:w="4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показателей долговой устойчивости
 за прошлый период (государственный внешний долг к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7"/>
        <w:gridCol w:w="1044"/>
        <w:gridCol w:w="1044"/>
        <w:gridCol w:w="1044"/>
        <w:gridCol w:w="1044"/>
        <w:gridCol w:w="1044"/>
      </w:tblGrid>
      <w:tr>
        <w:tc>
          <w:tcPr>
            <w:tcW w:type="dxa" w:w="49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Государственный внешний долг</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включая:</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bl>
    <w:p>
      <w:pPr>
        <w:spacing w:after="60" w:before="120"/>
        <w:ind w:firstLine="567"/>
        <w:jc w:val="both"/>
      </w:pPr>
      <w:r>
        <w:rPr>
          <w:rFonts w:ascii="Arial" w:cs="Arial" w:eastAsia="Arial" w:hAnsi="Arial"/>
          <w:sz w:val="22"/>
          <w:szCs w:val="22"/>
        </w:rPr>
        <w:t xml:space="preserve">В период с 2015 по 2017 годы наблюдалась устойчивая тенденция роста объема государственного внешнего долга Кыргызской Республики в долларах США. Снижение внешнего долга в 2018 году обусловлено списанием задолженности Кыргызской Республики перед Российской Федерацией. Объем государственного внешнего долга в сомовом эквиваленте зависит от влияния на него обменного курса доллара США. Так, к примеру, государственный внешний долг в долларах США на конец 2019 года увеличился по сравнению с 2015 годом на 6,9%, в то время как в сомовом эквиваленте, наоборот снизился на 2%, что связано с укреплением национальной валюты (если на конец 2015 года 1 доллар США = 75,9 сома, то на конец 2019 года 1 доллар США = 69,6 сома).</w:t>
      </w:r>
    </w:p>
    <w:p>
      <w:pPr>
        <w:spacing w:after="60"/>
        <w:ind w:firstLine="567"/>
        <w:jc w:val="both"/>
      </w:pPr>
      <w:r>
        <w:rPr>
          <w:rFonts w:ascii="Arial" w:cs="Arial" w:eastAsia="Arial" w:hAnsi="Arial"/>
          <w:sz w:val="22"/>
          <w:szCs w:val="22"/>
        </w:rPr>
        <w:t xml:space="preserve">Также отмечается тенденция роста расходов на обслуживание государственного внешнего долга, что связано с наступлением сроков погашения по многим кредитам. Так, в 2019 году 72,3% общей суммы расходов на обслуживание государственного внешнего долга было направлено на погашение основной суммы долга, на выплату сумм по начисленным процентам - 27,7%.</w:t>
      </w:r>
    </w:p>
    <w:p>
      <w:pPr>
        <w:spacing w:after="60"/>
        <w:ind w:firstLine="567"/>
        <w:jc w:val="both"/>
      </w:pPr>
      <w:r>
        <w:rPr>
          <w:rFonts w:ascii="Arial" w:cs="Arial" w:eastAsia="Arial" w:hAnsi="Arial"/>
          <w:sz w:val="22"/>
          <w:szCs w:val="22"/>
        </w:rPr>
        <w:t xml:space="preserve">В целях сокращения уровня государственного внешнего долга, Правительством Кыргызской Республики в период с 2015 по 2018 гг. были проведены мероприятия с Экспортно-импортным банком Китая и Правительством Российской Федерации по реструктуризации государственного внешнего долга Кыргызской Республики. В результате проведенной работы: 1) полностью списана задолженность Кыргызской Республики перед Российской Федерацией и 2) реструктуризирован долг Кыргызской Республики по проекту строительства Бумажной фабрики от 12 апреля 2001 года.</w:t>
      </w:r>
    </w:p>
    <w:p>
      <w:pPr>
        <w:spacing w:after="60"/>
        <w:ind w:firstLine="567"/>
        <w:jc w:val="both"/>
      </w:pPr>
      <w:r>
        <w:rPr>
          <w:rFonts w:ascii="Arial" w:cs="Arial" w:eastAsia="Arial" w:hAnsi="Arial"/>
          <w:sz w:val="22"/>
          <w:szCs w:val="22"/>
        </w:rPr>
        <w:t xml:space="preserve">Макроэкономический эффект внешнего долга. На обслуживание государственного внешнего долга Кыргызской Республики планируется направить: в 2021 году - 19999 млн. сомов, в 2022 году - 23728 млн. сомов, в 2023 году - 29973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поступление и погашение внешних займов
 (в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3"/>
        <w:gridCol w:w="1185"/>
        <w:gridCol w:w="1185"/>
        <w:gridCol w:w="1185"/>
        <w:gridCol w:w="1181"/>
      </w:tblGrid>
      <w:tr>
        <w:tc>
          <w:tcPr>
            <w:tcW w:type="dxa" w:w="5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 (на конец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348485</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347209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357759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361694</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Поступление займов(**)</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51594</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21227</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21189</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29973</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5144</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13113</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24829</w:t>
            </w:r>
          </w:p>
        </w:tc>
      </w:tr>
    </w:tbl>
    <w:p>
      <w:pPr>
        <w:spacing w:after="60" w:before="120"/>
        <w:ind w:firstLine="567"/>
        <w:jc w:val="both"/>
      </w:pPr>
      <w:r>
        <w:rPr>
          <w:rFonts w:ascii="Arial" w:cs="Arial" w:eastAsia="Arial" w:hAnsi="Arial"/>
          <w:sz w:val="22"/>
          <w:szCs w:val="22"/>
        </w:rPr>
        <w:t xml:space="preserve">(**) По данным Управления международного сотрудничества МФКР.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поступление и погашение внешних
 займов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2"/>
        <w:gridCol w:w="1004"/>
        <w:gridCol w:w="1004"/>
        <w:gridCol w:w="1004"/>
        <w:gridCol w:w="1004"/>
      </w:tblGrid>
      <w:tr>
        <w:tc>
          <w:tcPr>
            <w:tcW w:type="dxa" w:w="6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bl>
    <w:p>
      <w:pPr>
        <w:spacing w:after="60" w:before="12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на 2021 год и прогноз на 2022-2023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w:t>
      </w:r>
    </w:p>
    <w:p>
      <w:pPr>
        <w:spacing w:after="60"/>
        <w:ind w:firstLine="567"/>
        <w:jc w:val="both"/>
      </w:pPr>
      <w:r>
        <w:rPr>
          <w:rFonts w:ascii="Arial" w:cs="Arial" w:eastAsia="Arial" w:hAnsi="Arial"/>
          <w:sz w:val="22"/>
          <w:szCs w:val="22"/>
        </w:rPr>
        <w:t xml:space="preserve">По предварительным данным, за 2020-2023 годы объем государственного внешнего долга к ВВП в среднем составит 54,1%.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2021-2023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200" w:before="200"/>
        <w:jc w:val="center"/>
      </w:pPr>
      <w:r>
        <w:rPr>
          <w:rFonts w:ascii="Arial" w:cs="Arial" w:eastAsia="Arial" w:hAnsi="Arial"/>
          <w:b/>
          <w:bCs/>
          <w:sz w:val="22"/>
          <w:szCs w:val="22"/>
        </w:rPr>
        <w:t xml:space="preserve">Тенденции динамики внутреннего долга за прошлые периоды</w:t>
      </w:r>
    </w:p>
    <w:p>
      <w:pPr>
        <w:spacing w:after="60"/>
        <w:ind w:firstLine="567"/>
        <w:jc w:val="right"/>
      </w:pPr>
      <w:r>
        <w:rPr>
          <w:rFonts w:ascii="Arial" w:cs="Arial" w:eastAsia="Arial" w:hAnsi="Arial"/>
          <w:sz w:val="22"/>
          <w:szCs w:val="22"/>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Тенденции изменения внутреннего долга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7"/>
        <w:gridCol w:w="1044"/>
        <w:gridCol w:w="1044"/>
        <w:gridCol w:w="1044"/>
        <w:gridCol w:w="1044"/>
        <w:gridCol w:w="1044"/>
      </w:tblGrid>
      <w:tr>
        <w:tc>
          <w:tcPr>
            <w:tcW w:type="dxa" w:w="4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Поступления займов</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 в том числе:</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проценты</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основная сумма</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4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переоформление и/или списание</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 2015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2"/>
          <w:szCs w:val="22"/>
        </w:rPr>
        <w:t xml:space="preserve">В период с 2016 по 2018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2"/>
          <w:szCs w:val="22"/>
        </w:rPr>
        <w:t xml:space="preserve">В 2015-2019 годах расходы республиканского бюджета на обслуживание государственного внутреннего долга Кыргызской Республики составили: в 2015 г. - 6880,7 млн. сомов, в 2016 г. - 11518,7 млн. сомов, в 2017 г. - 10663,3 млн. сомов, в 2018 г. - 11804,9 млн. сомов, в 2019 г. - 14112,4 млн. сомов.</w:t>
      </w:r>
    </w:p>
    <w:p>
      <w:pPr>
        <w:spacing w:after="60"/>
        <w:ind w:firstLine="567"/>
        <w:jc w:val="both"/>
      </w:pPr>
      <w:r>
        <w:rPr>
          <w:rFonts w:ascii="Arial" w:cs="Arial" w:eastAsia="Arial" w:hAnsi="Arial"/>
          <w:sz w:val="22"/>
          <w:szCs w:val="22"/>
        </w:rPr>
        <w:t xml:space="preserve">Значительный объем расходов на выплату обязательств по основной сумме приходится на 2016 год и на 2019 год, что связано в 2016 году с полным погашением обязательств по казначейским облигациям, держателями которых являлись нефинансовые организации, ГКО со сроком обращения 5 лет, на 2019 год - частичное погашение обязательств по 3-6 месячным ГКВ, возобновленным со второго полугодия 2019 года.</w:t>
      </w:r>
    </w:p>
    <w:p>
      <w:pPr>
        <w:spacing w:after="200" w:before="200"/>
        <w:jc w:val="center"/>
      </w:pPr>
      <w:r>
        <w:rPr>
          <w:rFonts w:ascii="Arial" w:cs="Arial" w:eastAsia="Arial" w:hAnsi="Arial"/>
          <w:b/>
          <w:bCs/>
          <w:sz w:val="22"/>
          <w:szCs w:val="22"/>
        </w:rPr>
        <w:t xml:space="preserve">Прогнозные тенденции изменения внутреннего долга</w:t>
      </w:r>
    </w:p>
    <w:p>
      <w:pPr>
        <w:spacing w:after="60"/>
        <w:ind w:firstLine="567"/>
        <w:jc w:val="right"/>
      </w:pPr>
      <w:r>
        <w:rPr>
          <w:rFonts w:ascii="Arial" w:cs="Arial" w:eastAsia="Arial" w:hAnsi="Arial"/>
          <w:sz w:val="22"/>
          <w:szCs w:val="22"/>
        </w:rPr>
        <w:t xml:space="preserve">Таблица 14</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Текущий долг, признание новых обязательств, поступление
 и обслуживание внутреннего долга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9"/>
        <w:gridCol w:w="1230"/>
        <w:gridCol w:w="1230"/>
        <w:gridCol w:w="1230"/>
        <w:gridCol w:w="1230"/>
      </w:tblGrid>
      <w:tr>
        <w:tc>
          <w:tcPr>
            <w:tcW w:type="dxa" w:w="5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Поступления займов</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Принятие обязательств</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Погашение задолженности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которых проценты</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r>
      <w:tr>
        <w:tc>
          <w:tcPr>
            <w:tcW w:type="dxa" w:w="5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которых основная сумма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bl>
    <w:p>
      <w:pPr>
        <w:spacing w:after="60" w:before="120"/>
        <w:ind w:firstLine="567"/>
        <w:jc w:val="both"/>
      </w:pPr>
      <w:r>
        <w:rPr>
          <w:rFonts w:ascii="Arial" w:cs="Arial" w:eastAsia="Arial" w:hAnsi="Arial"/>
          <w:sz w:val="22"/>
          <w:szCs w:val="22"/>
        </w:rPr>
        <w:t xml:space="preserve">В 2021-2023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объеме 15400,0 млн. сомов ежегодно. Структура выпуска и размещения ГЦБ в 2021-2023 годы пересмотрена в сторону увеличения долгосрочных ценных бумаг(4).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2021-2023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2"/>
          <w:szCs w:val="22"/>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2"/>
          <w:szCs w:val="22"/>
        </w:rPr>
        <w:t xml:space="preserve">На обслуживание государственного внутреннего долга Кыргызской Республики планируется направить в 2021 году - 15351 млн. сомов, в 2022 году - 13719 млн. сомов, в 2023 году - 15929 млн. сомов.</w:t>
      </w:r>
    </w:p>
    <w:p>
      <w:pPr>
        <w:spacing w:after="60"/>
        <w:ind w:firstLine="567"/>
        <w:jc w:val="both"/>
      </w:pPr>
      <w:r>
        <w:rPr>
          <w:rFonts w:ascii="Arial" w:cs="Arial" w:eastAsia="Arial" w:hAnsi="Arial"/>
          <w:sz w:val="22"/>
          <w:szCs w:val="22"/>
        </w:rPr>
        <w:t xml:space="preserve">Значительный объем расходов на выплату обязательств по основной сумме приходится на 2021 год, что связано с полным погашением обязательств по КО серии bank 4-96, и ГКО со сроком обращения 5 лет, номинированных в иностранной валюте.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Сравнительный анализ внешнего и внутреннего долга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2"/>
        <w:gridCol w:w="943"/>
        <w:gridCol w:w="943"/>
        <w:gridCol w:w="943"/>
        <w:gridCol w:w="943"/>
        <w:gridCol w:w="943"/>
        <w:gridCol w:w="943"/>
      </w:tblGrid>
      <w:tr>
        <w:tc>
          <w:tcPr>
            <w:tcW w:type="dxa" w:w="4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заимствования в % к суммарным заимствованиям</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42,1%</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заимствования в % к суммарным заимствованиям</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Суммарные заимствования (млн. сомов)</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28760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66994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36627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37190</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36589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внутреннего долга в % к суммарному размеру долга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Размер внешнего долга в % к суммарному размеру долга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79,9%</w:t>
            </w:r>
          </w:p>
        </w:tc>
      </w:tr>
      <w:tr>
        <w:tc>
          <w:tcPr>
            <w:tcW w:type="dxa" w:w="4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Суммарный размер всего долга (млн. сомов)</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311835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319475</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408189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415679</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437942</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452726</w:t>
            </w:r>
          </w:p>
        </w:tc>
      </w:tr>
    </w:tbl>
    <w:p>
      <w:pPr>
        <w:spacing w:after="60" w:before="120"/>
        <w:ind w:firstLine="567"/>
        <w:jc w:val="both"/>
      </w:pPr>
      <w:r>
        <w:rPr>
          <w:rFonts w:ascii="Arial" w:cs="Arial" w:eastAsia="Arial" w:hAnsi="Arial"/>
          <w:sz w:val="22"/>
          <w:szCs w:val="22"/>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80% суммарного объема государственного долга.</w:t>
      </w:r>
    </w:p>
    <w:p>
      <w:pPr>
        <w:spacing w:after="60" w:before="200"/>
        <w:ind w:firstLine="567"/>
        <w:jc w:val="both"/>
      </w:pPr>
      <w:r>
        <w:rPr>
          <w:rFonts w:ascii="Arial" w:cs="Arial" w:eastAsia="Arial" w:hAnsi="Arial"/>
          <w:b/>
          <w:bCs/>
          <w:sz w:val="22"/>
          <w:szCs w:val="22"/>
        </w:rPr>
        <w:t xml:space="preserve">Стратегия управления государственным долгом</w:t>
      </w:r>
    </w:p>
    <w:p>
      <w:pPr>
        <w:spacing w:after="60"/>
        <w:ind w:firstLine="567"/>
        <w:jc w:val="both"/>
      </w:pPr>
      <w:r>
        <w:rPr>
          <w:rFonts w:ascii="Arial" w:cs="Arial" w:eastAsia="Arial" w:hAnsi="Arial"/>
          <w:sz w:val="22"/>
          <w:szCs w:val="22"/>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2"/>
          <w:szCs w:val="22"/>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2"/>
          <w:szCs w:val="22"/>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2"/>
          <w:szCs w:val="22"/>
        </w:rPr>
        <w:t xml:space="preserve">- на привлечение государственных внутренних заимствований только посредством выпуска ГЦБ и их размещения через рыночные механизмы ценообразования, в частности через аукционы;</w:t>
      </w:r>
    </w:p>
    <w:p>
      <w:pPr>
        <w:spacing w:after="60"/>
        <w:ind w:firstLine="567"/>
        <w:jc w:val="both"/>
      </w:pPr>
      <w:r>
        <w:rPr>
          <w:rFonts w:ascii="Arial" w:cs="Arial" w:eastAsia="Arial" w:hAnsi="Arial"/>
          <w:sz w:val="22"/>
          <w:szCs w:val="22"/>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2"/>
          <w:szCs w:val="22"/>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w:t>
      </w:r>
    </w:p>
    <w:p>
      <w:pPr>
        <w:spacing w:after="60"/>
        <w:ind w:firstLine="567"/>
        <w:jc w:val="both"/>
      </w:pPr>
      <w:r>
        <w:rPr>
          <w:rFonts w:ascii="Arial" w:cs="Arial" w:eastAsia="Arial" w:hAnsi="Arial"/>
          <w:sz w:val="22"/>
          <w:szCs w:val="22"/>
        </w:rPr>
        <w:t xml:space="preserve">Правительство Кыргызской Республики не будет предоставлять государственные гарантии финансовым инструментам с высоким уровнем риска.</w:t>
      </w:r>
    </w:p>
    <w:p>
      <w:pPr>
        <w:spacing w:after="200" w:before="200"/>
        <w:jc w:val="center"/>
      </w:pPr>
      <w:r>
        <w:rPr>
          <w:rFonts w:ascii="Arial" w:cs="Arial" w:eastAsia="Arial" w:hAnsi="Arial"/>
          <w:b/>
          <w:bCs/>
          <w:sz w:val="22"/>
          <w:szCs w:val="22"/>
        </w:rPr>
        <w:t xml:space="preserve">Возможные риски на 2021-2023 годы по государственному долгу</w:t>
      </w:r>
    </w:p>
    <w:p>
      <w:pPr>
        <w:spacing w:after="60" w:before="200"/>
        <w:ind w:firstLine="567"/>
        <w:jc w:val="both"/>
      </w:pPr>
      <w:r>
        <w:rPr>
          <w:rFonts w:ascii="Arial" w:cs="Arial" w:eastAsia="Arial" w:hAnsi="Arial"/>
          <w:b/>
          <w:bCs/>
          <w:sz w:val="22"/>
          <w:szCs w:val="22"/>
        </w:rPr>
        <w:t xml:space="preserve">1. По поступлению средств от выпуска государственных ценных бумаг (далее ГЦБ)</w:t>
      </w:r>
    </w:p>
    <w:p>
      <w:pPr>
        <w:spacing w:after="60"/>
        <w:ind w:firstLine="567"/>
        <w:jc w:val="both"/>
      </w:pPr>
      <w:r>
        <w:rPr>
          <w:rFonts w:ascii="Arial" w:cs="Arial" w:eastAsia="Arial" w:hAnsi="Arial"/>
          <w:sz w:val="22"/>
          <w:szCs w:val="22"/>
        </w:rPr>
        <w:t xml:space="preserve">Поступление финансовых средств от выпуска ГЦБ на 2021-2023 годы запланировано в размере 15000,0 млн. сомов ежегодно.</w:t>
      </w:r>
    </w:p>
    <w:p>
      <w:pPr>
        <w:spacing w:after="60"/>
        <w:ind w:firstLine="567"/>
        <w:jc w:val="both"/>
      </w:pPr>
      <w:r>
        <w:rPr>
          <w:rFonts w:ascii="Arial" w:cs="Arial" w:eastAsia="Arial" w:hAnsi="Arial"/>
          <w:sz w:val="22"/>
          <w:szCs w:val="22"/>
        </w:rPr>
        <w:t xml:space="preserve">Следует отметить, что поступление средств от выпуска ГЦБ зависит от сложившейся ситуации на рынке ГЦБ, таких факторов как спрос и доходность, которые в свою очередь зависят от общей ликвидности всего банковского сектора и вовлеченных участников финансового рынка в целом.</w:t>
      </w:r>
    </w:p>
    <w:p>
      <w:pPr>
        <w:spacing w:after="60"/>
        <w:ind w:firstLine="567"/>
        <w:jc w:val="both"/>
      </w:pPr>
      <w:r>
        <w:rPr>
          <w:rFonts w:ascii="Arial" w:cs="Arial" w:eastAsia="Arial" w:hAnsi="Arial"/>
          <w:sz w:val="22"/>
          <w:szCs w:val="22"/>
        </w:rPr>
        <w:t xml:space="preserve">Принимая во внимание спрос и активность участников рынка ГЦБ, а также фактические данные по ГЦБ, Министерство финансов Кыргызской Республики разрабатывает структуру выпуска ГЦБ в разрезе срочности и ежемесячный календарь эмиссии ГЦБ соответственно. Также следует отметить, что в целях выполнения плана поступлений по ГЦБ структура выпуска ГЦБ может быть откорректирована в течение бюджетного года.</w:t>
      </w:r>
    </w:p>
    <w:p>
      <w:pPr>
        <w:spacing w:after="60"/>
        <w:ind w:firstLine="567"/>
        <w:jc w:val="both"/>
      </w:pPr>
      <w:r>
        <w:rPr>
          <w:rFonts w:ascii="Arial" w:cs="Arial" w:eastAsia="Arial" w:hAnsi="Arial"/>
          <w:sz w:val="22"/>
          <w:szCs w:val="22"/>
        </w:rPr>
        <w:t xml:space="preserve">Несмотря на вышеотмеченные меры, фактические объемы и выпуски ГЦБ будут зависеть от сложившейся ситуации на рынке ГЦБ, от изменения показателей доходности ГЦБ и структуры спроса на ГЦБ.</w:t>
      </w:r>
    </w:p>
    <w:p>
      <w:pPr>
        <w:spacing w:after="60"/>
        <w:ind w:firstLine="567"/>
        <w:jc w:val="both"/>
      </w:pPr>
      <w:r>
        <w:rPr>
          <w:rFonts w:ascii="Arial" w:cs="Arial" w:eastAsia="Arial" w:hAnsi="Arial"/>
          <w:sz w:val="22"/>
          <w:szCs w:val="22"/>
        </w:rPr>
        <w:t xml:space="preserve">Таким образом, при отсутствии спроса со стороны инвесторов на рынке ГЦБ или же чрезмерного повышения ставки доходности по ГЦБ, существует риск недопоступления финансовых средств от выпуска ГЦБ.</w:t>
      </w:r>
    </w:p>
    <w:p>
      <w:pPr>
        <w:spacing w:after="60"/>
        <w:ind w:firstLine="567"/>
        <w:jc w:val="both"/>
      </w:pPr>
      <w:r>
        <w:rPr>
          <w:rFonts w:ascii="Arial" w:cs="Arial" w:eastAsia="Arial" w:hAnsi="Arial"/>
          <w:sz w:val="22"/>
          <w:szCs w:val="22"/>
        </w:rPr>
        <w:t xml:space="preserve">Относительно обслуживания государственного внутреннего долга, т.е. обслуживание и погашение ГЦБ, необходимо отметить, что все средства на осуществление расходов по обслуживанию ГЦБ предусматриваются в республиканском бюджете на соответствующий год и два прогнозных года. Статьи расходов на обслуживание государственного долга, в том числе государственного внутреннего долга, являются первоочередными, приоритетными и обязательными, так как входят в категорию "защищенные статьи".</w:t>
      </w:r>
    </w:p>
    <w:p>
      <w:pPr>
        <w:spacing w:after="60"/>
        <w:ind w:firstLine="567"/>
        <w:jc w:val="both"/>
      </w:pPr>
      <w:r>
        <w:rPr>
          <w:rFonts w:ascii="Arial" w:cs="Arial" w:eastAsia="Arial" w:hAnsi="Arial"/>
          <w:sz w:val="22"/>
          <w:szCs w:val="22"/>
        </w:rPr>
        <w:t xml:space="preserve">Вместе с тем, в утвержденный бюджет по обслуживанию государственного внутреннего долга, могут быть внесены уточнения, как в сторону увеличения, так и в сторону уменьшения. Это связано с ростом или же понижением ставок доходности по ГЦБ и изменением структуры выпуска ГЦБ. Кроме того, в случае необходимости пополнения ресурсной части республиканского бюджета за счет дополнительного выпуска ГЦБ, т.е. увеличение поступления сверх запланированных финансовых средств от выпуска ГЦБ, также влияет на увеличение расходов по обслуживанию государственного внутреннего долга, как процентов, так и основной суммы, так как увеличиваются обязательства по ГЦБ.</w:t>
      </w:r>
    </w:p>
    <w:p>
      <w:pPr>
        <w:spacing w:after="60"/>
        <w:ind w:firstLine="567"/>
        <w:jc w:val="both"/>
      </w:pPr>
      <w:r>
        <w:rPr>
          <w:rFonts w:ascii="Arial" w:cs="Arial" w:eastAsia="Arial" w:hAnsi="Arial"/>
          <w:sz w:val="22"/>
          <w:szCs w:val="22"/>
        </w:rPr>
        <w:t xml:space="preserve">Следует также отметить, что при обслуживании государственного внутреннего долга Кыргызской Республики существует риск увеличения процентных платежей.</w:t>
      </w:r>
    </w:p>
    <w:p>
      <w:pPr>
        <w:spacing w:after="60"/>
        <w:ind w:firstLine="567"/>
        <w:jc w:val="both"/>
      </w:pPr>
      <w:r>
        <w:rPr>
          <w:rFonts w:ascii="Arial" w:cs="Arial" w:eastAsia="Arial" w:hAnsi="Arial"/>
          <w:sz w:val="22"/>
          <w:szCs w:val="22"/>
        </w:rPr>
        <w:t xml:space="preserve">Расхождения в ставках доходности ГЦБ могут вызвать изменения в издержках по обслуживанию государственного долга, предусмотренных в бюджете и прогнозах. При размещении ГЦБ, чем выше доходность, тем выше будущие платежи по погашению данных ГЦБ. Это связано с тем, что доходность по ГЦБ устанавливается участниками рынка ГЦБ во время проведения аукционов по размещению ГЦБ, в том числе с учетом ожидаемой инфляции.</w:t>
      </w:r>
    </w:p>
    <w:p>
      <w:pPr>
        <w:spacing w:after="60" w:before="200"/>
        <w:ind w:firstLine="567"/>
        <w:jc w:val="both"/>
      </w:pPr>
      <w:r>
        <w:rPr>
          <w:rFonts w:ascii="Arial" w:cs="Arial" w:eastAsia="Arial" w:hAnsi="Arial"/>
          <w:b/>
          <w:bCs/>
          <w:sz w:val="22"/>
          <w:szCs w:val="22"/>
        </w:rPr>
        <w:t xml:space="preserve">2. По обслуживанию государственного внешнего долга</w:t>
      </w:r>
    </w:p>
    <w:p>
      <w:pPr>
        <w:spacing w:after="60"/>
        <w:ind w:firstLine="567"/>
        <w:jc w:val="both"/>
      </w:pPr>
      <w:r>
        <w:rPr>
          <w:rFonts w:ascii="Arial" w:cs="Arial" w:eastAsia="Arial" w:hAnsi="Arial"/>
          <w:sz w:val="22"/>
          <w:szCs w:val="22"/>
        </w:rPr>
        <w:t xml:space="preserve">Расходы по обслуживанию государственного внешнего долга Кыргызской Республики сильно подвержены риску обменного курса. Риск обменного курса состоит в том, что 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возникнет дополнительная потребность бюджетных средств для обслуживания государственного внешнего долга.</w:t>
      </w:r>
    </w:p>
    <w:p>
      <w:pPr>
        <w:spacing w:after="200" w:before="200"/>
        <w:jc w:val="center"/>
      </w:pPr>
      <w:r>
        <w:rPr>
          <w:rFonts w:ascii="Arial" w:cs="Arial" w:eastAsia="Arial" w:hAnsi="Arial"/>
          <w:b/>
          <w:bCs/>
          <w:sz w:val="22"/>
          <w:szCs w:val="22"/>
        </w:rPr>
        <w:t xml:space="preserve">5. Реформа межбюджетных отношений</w:t>
      </w:r>
    </w:p>
    <w:p>
      <w:pPr>
        <w:spacing w:after="60"/>
        <w:ind w:firstLine="567"/>
        <w:jc w:val="both"/>
      </w:pPr>
      <w:r>
        <w:rPr>
          <w:rFonts w:ascii="Arial" w:cs="Arial" w:eastAsia="Arial" w:hAnsi="Arial"/>
          <w:sz w:val="22"/>
          <w:szCs w:val="22"/>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2"/>
          <w:szCs w:val="22"/>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2"/>
          <w:szCs w:val="22"/>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2"/>
          <w:szCs w:val="22"/>
        </w:rPr>
        <w:t xml:space="preserve">В связи с тем, что задачи Концепции развития межбюджетных отношений в Кыргызской Республике на период 2016-2019 годы, разработанной в соответствии с национальными государственными стратегическими документами, утвержденной постановлением Правительства Кыргызской Республики от 10 марта 2016 года № 116, не были реализованы в полной мере, возникла необходимость разработки новой Программы развития межбюджетных отношений. В настоящее время межведомственной рабочей группой разрабатывается проект Программы развития межбюджетных отношений на период 2021-2025 годов и предлагается изменить перечень задач:</w:t>
      </w:r>
    </w:p>
    <w:p>
      <w:pPr>
        <w:spacing w:after="60"/>
        <w:ind w:firstLine="567"/>
        <w:jc w:val="both"/>
      </w:pPr>
      <w:r>
        <w:rPr>
          <w:rFonts w:ascii="Arial" w:cs="Arial" w:eastAsia="Arial" w:hAnsi="Arial"/>
          <w:sz w:val="22"/>
          <w:szCs w:val="22"/>
        </w:rPr>
        <w:t xml:space="preserve">1) установить рамки и внедрить процесс согласования интересов государственных органов и органов местного самоуправления в рамках системы межбюджетных отношений;</w:t>
      </w:r>
    </w:p>
    <w:p>
      <w:pPr>
        <w:spacing w:after="60"/>
        <w:ind w:firstLine="567"/>
        <w:jc w:val="both"/>
      </w:pPr>
      <w:r>
        <w:rPr>
          <w:rFonts w:ascii="Arial" w:cs="Arial" w:eastAsia="Arial" w:hAnsi="Arial"/>
          <w:sz w:val="22"/>
          <w:szCs w:val="22"/>
        </w:rPr>
        <w:t xml:space="preserve">2) внедрить меры, стимулирующие органы местного самоуправления повышать доходный потенциал и уровень доходов, оптимизировать расходы;</w:t>
      </w:r>
    </w:p>
    <w:p>
      <w:pPr>
        <w:spacing w:after="60"/>
        <w:ind w:firstLine="567"/>
        <w:jc w:val="both"/>
      </w:pPr>
      <w:r>
        <w:rPr>
          <w:rFonts w:ascii="Arial" w:cs="Arial" w:eastAsia="Arial" w:hAnsi="Arial"/>
          <w:sz w:val="22"/>
          <w:szCs w:val="22"/>
        </w:rPr>
        <w:t xml:space="preserve">3) улучшить методику и повысить прозрачность расчетов межбюджетных трансфертов:</w:t>
      </w:r>
    </w:p>
    <w:p>
      <w:pPr>
        <w:spacing w:after="60"/>
        <w:ind w:firstLine="567"/>
        <w:jc w:val="both"/>
      </w:pPr>
      <w:r>
        <w:rPr>
          <w:rFonts w:ascii="Arial" w:cs="Arial" w:eastAsia="Arial" w:hAnsi="Arial"/>
          <w:sz w:val="22"/>
          <w:szCs w:val="22"/>
        </w:rPr>
        <w:t xml:space="preserve">- выравнивающих трансфертов;</w:t>
      </w:r>
    </w:p>
    <w:p>
      <w:pPr>
        <w:spacing w:after="60"/>
        <w:ind w:firstLine="567"/>
        <w:jc w:val="both"/>
      </w:pPr>
      <w:r>
        <w:rPr>
          <w:rFonts w:ascii="Arial" w:cs="Arial" w:eastAsia="Arial" w:hAnsi="Arial"/>
          <w:sz w:val="22"/>
          <w:szCs w:val="22"/>
        </w:rPr>
        <w:t xml:space="preserve">- целевых трансфертов (включая трансферты на финансирование исполнения делегированных государственных полномочий органами местного самоуправления);</w:t>
      </w:r>
    </w:p>
    <w:p>
      <w:pPr>
        <w:spacing w:after="60"/>
        <w:ind w:firstLine="567"/>
        <w:jc w:val="both"/>
      </w:pPr>
      <w:r>
        <w:rPr>
          <w:rFonts w:ascii="Arial" w:cs="Arial" w:eastAsia="Arial" w:hAnsi="Arial"/>
          <w:sz w:val="22"/>
          <w:szCs w:val="22"/>
        </w:rPr>
        <w:t xml:space="preserve">4) внедрить механизмы укрепления финансовой дисциплины и усиления финансового менеджмента в органах местного самоуправления.</w:t>
      </w:r>
    </w:p>
    <w:p>
      <w:pPr>
        <w:spacing w:after="60"/>
        <w:ind w:firstLine="567"/>
        <w:jc w:val="both"/>
      </w:pPr>
      <w:r>
        <w:rPr>
          <w:rFonts w:ascii="Arial" w:cs="Arial" w:eastAsia="Arial" w:hAnsi="Arial"/>
          <w:sz w:val="22"/>
          <w:szCs w:val="22"/>
        </w:rPr>
        <w:t xml:space="preserve">Для укрепления доходной части местного бюджета в 2021 году в пользу местных бюджетов устанавливаются нормативы отчисления от подоходного налога, уплачиваемого налоговым агентом, в размере 100%.</w:t>
      </w:r>
    </w:p>
    <w:p>
      <w:pPr>
        <w:spacing w:after="60"/>
        <w:ind w:firstLine="567"/>
        <w:jc w:val="both"/>
      </w:pPr>
      <w:r>
        <w:rPr>
          <w:rFonts w:ascii="Arial" w:cs="Arial" w:eastAsia="Arial" w:hAnsi="Arial"/>
          <w:sz w:val="22"/>
          <w:szCs w:val="22"/>
        </w:rPr>
        <w:t xml:space="preserve">В прогнозе на 2021-2023 гг. изменение нормативов отчислений по подоходному налогу, уплачиваемого налоговым агентом, в пользу местных бюджетов производится в размере 100%.</w:t>
      </w:r>
    </w:p>
    <w:p>
      <w:pPr>
        <w:spacing w:after="60"/>
        <w:ind w:firstLine="567"/>
        <w:jc w:val="both"/>
      </w:pPr>
      <w:r>
        <w:rPr>
          <w:rFonts w:ascii="Arial" w:cs="Arial" w:eastAsia="Arial" w:hAnsi="Arial"/>
          <w:sz w:val="22"/>
          <w:szCs w:val="22"/>
        </w:rPr>
        <w:t xml:space="preserve">Одновременно планируется изменение нормативов отчислений от налога с продаж в 2021-2022 гг. в размере 100% в пользу республиканского бюджета.</w:t>
      </w:r>
    </w:p>
    <w:p>
      <w:pPr>
        <w:spacing w:after="60"/>
        <w:ind w:firstLine="567"/>
        <w:jc w:val="both"/>
      </w:pPr>
      <w:r>
        <w:rPr>
          <w:rFonts w:ascii="Arial" w:cs="Arial" w:eastAsia="Arial" w:hAnsi="Arial"/>
          <w:sz w:val="22"/>
          <w:szCs w:val="22"/>
        </w:rPr>
        <w:t xml:space="preserve">В среднесрочной перспективе объемы местных бюджетов составят в 2021 году 23683,4 млн. сомов, в 2022 году - 24228,1 млн. сомов, в 2023 году - 24635,4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Объемы местных бюджетов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8"/>
        <w:gridCol w:w="943"/>
        <w:gridCol w:w="644"/>
        <w:gridCol w:w="922"/>
        <w:gridCol w:w="644"/>
        <w:gridCol w:w="1059"/>
        <w:gridCol w:w="644"/>
        <w:gridCol w:w="1059"/>
        <w:gridCol w:w="644"/>
        <w:gridCol w:w="1059"/>
        <w:gridCol w:w="644"/>
      </w:tblGrid>
      <w:tr>
        <w:tc>
          <w:tcPr>
            <w:tcW w:type="dxa" w:w="1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утв.</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c>
          <w:tcPr>
            <w:tcW w:type="dxa" w:w="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ВВП</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Местные бюджеты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Доходы, в т.ч.:</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21815,8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23038,1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23683,5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24228,1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24635,4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15596,0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16876,0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17159,4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17797,8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18302,5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3248,2</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3121,7</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3511,3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3513,9</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Активы и обязательства</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Трансферты, в т.ч.:</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Выравнивающие трансферты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1998,8</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1967,3</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Целевые трансферты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972,7</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1038,2</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800,0</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Расходы</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21396,9</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23038,1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23683,5</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24228,1</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24635,4</w:t>
            </w:r>
          </w:p>
        </w:tc>
        <w:tc>
          <w:tcPr>
            <w:tcW w:type="dxa" w:w="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bl>
    <w:p>
      <w:pPr>
        <w:spacing w:after="60"/>
        <w:ind w:firstLine="567"/>
        <w:jc w:val="both"/>
      </w:pPr>
      <w:r>
        <w:rPr>
          <w:rFonts w:ascii="Arial" w:cs="Arial" w:eastAsia="Arial" w:hAnsi="Arial"/>
          <w:sz w:val="22"/>
          <w:szCs w:val="22"/>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2"/>
          <w:szCs w:val="22"/>
        </w:rPr>
        <w:t xml:space="preserve">Несмотря на перевод финансирования системы образования с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2"/>
          <w:szCs w:val="22"/>
        </w:rPr>
        <w:t xml:space="preserve">Таким образом, в 2021 году выравнивающие трансферты составят в сумме 1967,3 млн. сомов, в 2022-2023 годах по 2000,0 млн. сомов ежегодно.</w:t>
      </w:r>
    </w:p>
    <w:p>
      <w:pPr>
        <w:spacing w:after="60"/>
        <w:ind w:firstLine="567"/>
        <w:jc w:val="both"/>
      </w:pPr>
      <w:r>
        <w:rPr>
          <w:rFonts w:ascii="Arial" w:cs="Arial" w:eastAsia="Arial" w:hAnsi="Arial"/>
          <w:sz w:val="22"/>
          <w:szCs w:val="22"/>
        </w:rPr>
        <w:t xml:space="preserve">В дальнейшем, основой для выравнивания бюджетной обеспеченности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2"/>
          <w:szCs w:val="22"/>
        </w:rPr>
        <w:t xml:space="preserve">Будут внесены изменения и дополнения в действующее бюджетное законодательство, в части изменения порядка предоставления целевых трансфертов,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60"/>
        <w:ind w:firstLine="567"/>
        <w:jc w:val="both"/>
      </w:pPr>
      <w:r>
        <w:rPr>
          <w:rFonts w:ascii="Arial" w:cs="Arial" w:eastAsia="Arial" w:hAnsi="Arial"/>
          <w:sz w:val="22"/>
          <w:szCs w:val="22"/>
        </w:rPr>
        <w:t xml:space="preserve">В республиканском бюджете на 2021 год Министерством финансов Кыргызской Республики планируется предусмотреть в виде целевых трансфертов в сумме 1038,2 млн. сомов, включающие в себя расходы на:</w:t>
      </w:r>
    </w:p>
    <w:p>
      <w:pPr>
        <w:spacing w:after="60"/>
        <w:ind w:firstLine="567"/>
        <w:jc w:val="both"/>
      </w:pPr>
      <w:r>
        <w:rPr>
          <w:rFonts w:ascii="Arial" w:cs="Arial" w:eastAsia="Arial" w:hAnsi="Arial"/>
          <w:sz w:val="22"/>
          <w:szCs w:val="22"/>
        </w:rPr>
        <w:t xml:space="preserve">- 50% компенсацию расходов населения на э/энергию, проживающего в высокогорных и отдаленных районах республики;</w:t>
      </w:r>
    </w:p>
    <w:p>
      <w:pPr>
        <w:spacing w:after="60"/>
        <w:ind w:firstLine="567"/>
        <w:jc w:val="both"/>
      </w:pPr>
      <w:r>
        <w:rPr>
          <w:rFonts w:ascii="Arial" w:cs="Arial" w:eastAsia="Arial" w:hAnsi="Arial"/>
          <w:sz w:val="22"/>
          <w:szCs w:val="22"/>
        </w:rPr>
        <w:t xml:space="preserve">- компенсацию теплоэнергии г.Ош;</w:t>
      </w:r>
    </w:p>
    <w:p>
      <w:pPr>
        <w:spacing w:after="60"/>
        <w:ind w:firstLine="567"/>
        <w:jc w:val="both"/>
      </w:pPr>
      <w:r>
        <w:rPr>
          <w:rFonts w:ascii="Arial" w:cs="Arial" w:eastAsia="Arial" w:hAnsi="Arial"/>
          <w:sz w:val="22"/>
          <w:szCs w:val="22"/>
        </w:rPr>
        <w:t xml:space="preserve">- на делегирование отдельных государственных полномочий органам местного самоуправления;</w:t>
      </w:r>
    </w:p>
    <w:p>
      <w:pPr>
        <w:spacing w:after="60"/>
        <w:ind w:firstLine="567"/>
        <w:jc w:val="both"/>
      </w:pPr>
      <w:r>
        <w:rPr>
          <w:rFonts w:ascii="Arial" w:cs="Arial" w:eastAsia="Arial" w:hAnsi="Arial"/>
          <w:sz w:val="22"/>
          <w:szCs w:val="22"/>
        </w:rPr>
        <w:t xml:space="preserve">- конкурс "самый лучший айыл окмоту";</w:t>
      </w:r>
    </w:p>
    <w:p>
      <w:pPr>
        <w:spacing w:after="60"/>
        <w:ind w:firstLine="567"/>
        <w:jc w:val="both"/>
      </w:pPr>
      <w:r>
        <w:rPr>
          <w:rFonts w:ascii="Arial" w:cs="Arial" w:eastAsia="Arial" w:hAnsi="Arial"/>
          <w:sz w:val="22"/>
          <w:szCs w:val="22"/>
        </w:rPr>
        <w:t xml:space="preserve">- компенсацию выпадений доходов в местных бюджетах (которые будут выделяться на основании мониторинга и анализа утвержденных местных бюджетов и ежемесячных поступлений доходов в местные бюджеты);</w:t>
      </w:r>
    </w:p>
    <w:p>
      <w:pPr>
        <w:spacing w:after="60"/>
        <w:ind w:firstLine="567"/>
        <w:jc w:val="both"/>
      </w:pPr>
      <w:r>
        <w:rPr>
          <w:rFonts w:ascii="Arial" w:cs="Arial" w:eastAsia="Arial" w:hAnsi="Arial"/>
          <w:sz w:val="22"/>
          <w:szCs w:val="22"/>
        </w:rPr>
        <w:t xml:space="preserve">- на разработку генеральных планов населенных пунктов органов местного самоуправления;</w:t>
      </w:r>
    </w:p>
    <w:p>
      <w:pPr>
        <w:spacing w:after="60"/>
        <w:ind w:firstLine="567"/>
        <w:jc w:val="both"/>
      </w:pPr>
      <w:r>
        <w:rPr>
          <w:rFonts w:ascii="Arial" w:cs="Arial" w:eastAsia="Arial" w:hAnsi="Arial"/>
          <w:sz w:val="22"/>
          <w:szCs w:val="22"/>
        </w:rPr>
        <w:t xml:space="preserve">- общегосударственный конкурс "Самый лучший айыл окмоту";</w:t>
      </w:r>
    </w:p>
    <w:p>
      <w:pPr>
        <w:spacing w:after="60"/>
        <w:ind w:firstLine="567"/>
        <w:jc w:val="both"/>
      </w:pPr>
      <w:r>
        <w:rPr>
          <w:rFonts w:ascii="Arial" w:cs="Arial" w:eastAsia="Arial" w:hAnsi="Arial"/>
          <w:sz w:val="22"/>
          <w:szCs w:val="22"/>
        </w:rPr>
        <w:t xml:space="preserve">- стимулирование органов местного самоуправления.</w:t>
      </w:r>
    </w:p>
    <w:p>
      <w:pPr>
        <w:spacing w:after="200" w:before="200"/>
        <w:jc w:val="center"/>
      </w:pPr>
      <w:r>
        <w:rPr>
          <w:rFonts w:ascii="Arial" w:cs="Arial" w:eastAsia="Arial" w:hAnsi="Arial"/>
          <w:b/>
          <w:bCs/>
          <w:sz w:val="22"/>
          <w:szCs w:val="22"/>
        </w:rPr>
        <w:t xml:space="preserve">6. Бюджет развития</w:t>
      </w:r>
    </w:p>
    <w:p>
      <w:pPr>
        <w:spacing w:after="200" w:before="200"/>
        <w:jc w:val="center"/>
      </w:pPr>
      <w:r>
        <w:rPr>
          <w:rFonts w:ascii="Arial" w:cs="Arial" w:eastAsia="Arial" w:hAnsi="Arial"/>
          <w:b/>
          <w:bCs/>
          <w:sz w:val="22"/>
          <w:szCs w:val="22"/>
        </w:rPr>
        <w:t xml:space="preserve">6.1. Капитальные вложения</w:t>
      </w:r>
    </w:p>
    <w:p>
      <w:pPr>
        <w:spacing w:after="60"/>
        <w:ind w:firstLine="567"/>
        <w:jc w:val="both"/>
      </w:pPr>
      <w:r>
        <w:rPr>
          <w:rFonts w:ascii="Arial" w:cs="Arial" w:eastAsia="Arial" w:hAnsi="Arial"/>
          <w:sz w:val="22"/>
          <w:szCs w:val="22"/>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w:t>
      </w:r>
    </w:p>
    <w:p>
      <w:pPr>
        <w:spacing w:after="60"/>
        <w:ind w:firstLine="567"/>
        <w:jc w:val="both"/>
      </w:pPr>
      <w:r>
        <w:rPr>
          <w:rFonts w:ascii="Arial" w:cs="Arial" w:eastAsia="Arial" w:hAnsi="Arial"/>
          <w:sz w:val="22"/>
          <w:szCs w:val="22"/>
        </w:rPr>
        <w:t xml:space="preserve">В целях реализации Указов Президента Кыргызской Республики об объявлении 2018 года - "Годом развития регионов", 2019 года - "Годом развития регионов и цифровизации страны", 2020 года - "Годом развития регионов, цифровизации страны и поддержки детей", государственные капитальные вложения будут направляться на обеспечение устойчивого развития инфраструктуры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2"/>
          <w:szCs w:val="22"/>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2"/>
          <w:szCs w:val="22"/>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2"/>
          <w:szCs w:val="22"/>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2"/>
          <w:szCs w:val="22"/>
        </w:rPr>
        <w:t xml:space="preserve">В 2016-2019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2"/>
          <w:szCs w:val="22"/>
        </w:rPr>
        <w:t xml:space="preserve">В 2019 году в приоритетном порядке фактические расходы в рамках государственных капитальных вложений в сумме 5641,0 млн. сомов были направлены в следующие сектора:</w:t>
      </w:r>
    </w:p>
    <w:p>
      <w:pPr>
        <w:spacing w:after="60"/>
        <w:ind w:firstLine="567"/>
        <w:jc w:val="both"/>
      </w:pPr>
      <w:r>
        <w:rPr>
          <w:rFonts w:ascii="Arial" w:cs="Arial" w:eastAsia="Arial" w:hAnsi="Arial"/>
          <w:sz w:val="22"/>
          <w:szCs w:val="22"/>
        </w:rPr>
        <w:t xml:space="preserve">- "образование" - 1932,7 млн. сомов;</w:t>
      </w:r>
    </w:p>
    <w:p>
      <w:pPr>
        <w:spacing w:after="60"/>
        <w:ind w:firstLine="567"/>
        <w:jc w:val="both"/>
      </w:pPr>
      <w:r>
        <w:rPr>
          <w:rFonts w:ascii="Arial" w:cs="Arial" w:eastAsia="Arial" w:hAnsi="Arial"/>
          <w:sz w:val="22"/>
          <w:szCs w:val="22"/>
        </w:rPr>
        <w:t xml:space="preserve">- "автодороги и мосты" - 1792,2 млн. сомов;</w:t>
      </w:r>
    </w:p>
    <w:p>
      <w:pPr>
        <w:spacing w:after="60"/>
        <w:ind w:firstLine="567"/>
        <w:jc w:val="both"/>
      </w:pPr>
      <w:r>
        <w:rPr>
          <w:rFonts w:ascii="Arial" w:cs="Arial" w:eastAsia="Arial" w:hAnsi="Arial"/>
          <w:sz w:val="22"/>
          <w:szCs w:val="22"/>
        </w:rPr>
        <w:t xml:space="preserve">- "ЖКХ" (водоснабжение, инфраструктура, проектные и прочие) - 643,9 млн. сомов;</w:t>
      </w:r>
    </w:p>
    <w:p>
      <w:pPr>
        <w:spacing w:after="60"/>
        <w:ind w:firstLine="567"/>
        <w:jc w:val="both"/>
      </w:pPr>
      <w:r>
        <w:rPr>
          <w:rFonts w:ascii="Arial" w:cs="Arial" w:eastAsia="Arial" w:hAnsi="Arial"/>
          <w:sz w:val="22"/>
          <w:szCs w:val="22"/>
        </w:rPr>
        <w:t xml:space="preserve">- "ирригация" - 549,8 млн. сомов;</w:t>
      </w:r>
    </w:p>
    <w:p>
      <w:pPr>
        <w:spacing w:after="60"/>
        <w:ind w:firstLine="567"/>
        <w:jc w:val="both"/>
      </w:pPr>
      <w:r>
        <w:rPr>
          <w:rFonts w:ascii="Arial" w:cs="Arial" w:eastAsia="Arial" w:hAnsi="Arial"/>
          <w:sz w:val="22"/>
          <w:szCs w:val="22"/>
        </w:rPr>
        <w:t xml:space="preserve">- "культура и спорт" - 303,1 млн. сомов;</w:t>
      </w:r>
    </w:p>
    <w:p>
      <w:pPr>
        <w:spacing w:after="60"/>
        <w:ind w:firstLine="567"/>
        <w:jc w:val="both"/>
      </w:pPr>
      <w:r>
        <w:rPr>
          <w:rFonts w:ascii="Arial" w:cs="Arial" w:eastAsia="Arial" w:hAnsi="Arial"/>
          <w:sz w:val="22"/>
          <w:szCs w:val="22"/>
        </w:rPr>
        <w:t xml:space="preserve">- "здравоохранение" - 180,9 млн. сомов;</w:t>
      </w:r>
    </w:p>
    <w:p>
      <w:pPr>
        <w:spacing w:after="60"/>
        <w:ind w:firstLine="567"/>
        <w:jc w:val="both"/>
      </w:pPr>
      <w:r>
        <w:rPr>
          <w:rFonts w:ascii="Arial" w:cs="Arial" w:eastAsia="Arial" w:hAnsi="Arial"/>
          <w:sz w:val="22"/>
          <w:szCs w:val="22"/>
        </w:rPr>
        <w:t xml:space="preserve">- "оборона и правопорядок" - 124,8 млн. сомов.</w:t>
      </w:r>
    </w:p>
    <w:p>
      <w:pPr>
        <w:spacing w:after="60"/>
        <w:ind w:firstLine="567"/>
        <w:jc w:val="both"/>
      </w:pPr>
      <w:r>
        <w:rPr>
          <w:rFonts w:ascii="Arial" w:cs="Arial" w:eastAsia="Arial" w:hAnsi="Arial"/>
          <w:sz w:val="22"/>
          <w:szCs w:val="22"/>
        </w:rPr>
        <w:t xml:space="preserve">В 2021-2023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Балыкчы - Тамчы - Чолпон-Ата - Корумду и автодорог, находящихся в районных центрах республики. 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республики.</w:t>
      </w:r>
    </w:p>
    <w:p>
      <w:pPr>
        <w:spacing w:after="60"/>
        <w:ind w:firstLine="567"/>
        <w:jc w:val="both"/>
      </w:pPr>
      <w:r>
        <w:rPr>
          <w:rFonts w:ascii="Arial" w:cs="Arial" w:eastAsia="Arial" w:hAnsi="Arial"/>
          <w:sz w:val="22"/>
          <w:szCs w:val="22"/>
        </w:rPr>
        <w:t xml:space="preserve">В Законе Кыргызской Республики "О республиканском бюджете Кыргызской Республики на 2020 год и прогнозе на 2021-2022 годы" по статье капитальные вложения предусмотрено 2411,5 млн. сомов.</w:t>
      </w:r>
    </w:p>
    <w:p>
      <w:pPr>
        <w:spacing w:after="60"/>
        <w:ind w:firstLine="567"/>
        <w:jc w:val="both"/>
      </w:pPr>
      <w:r>
        <w:rPr>
          <w:rFonts w:ascii="Arial" w:cs="Arial" w:eastAsia="Arial" w:hAnsi="Arial"/>
          <w:sz w:val="22"/>
          <w:szCs w:val="22"/>
        </w:rPr>
        <w:t xml:space="preserve">В среднесрочном периоде на финансирование капитальных вложений предусмотрено на 2021-2023 годы по 3000,0 млн. сомов ежегодно.</w:t>
      </w:r>
    </w:p>
    <w:p>
      <w:pPr>
        <w:spacing w:after="60"/>
        <w:ind w:firstLine="567"/>
        <w:jc w:val="both"/>
      </w:pPr>
      <w:r>
        <w:rPr>
          <w:rFonts w:ascii="Arial" w:cs="Arial" w:eastAsia="Arial" w:hAnsi="Arial"/>
          <w:sz w:val="22"/>
          <w:szCs w:val="22"/>
        </w:rPr>
        <w:t xml:space="preserve">В среднесрочном периоде работа будет направлена на:</w:t>
      </w:r>
    </w:p>
    <w:p>
      <w:pPr>
        <w:spacing w:after="60"/>
        <w:ind w:firstLine="567"/>
        <w:jc w:val="both"/>
      </w:pPr>
      <w:r>
        <w:rPr>
          <w:rFonts w:ascii="Arial" w:cs="Arial" w:eastAsia="Arial" w:hAnsi="Arial"/>
          <w:sz w:val="22"/>
          <w:szCs w:val="22"/>
        </w:rPr>
        <w:t xml:space="preserve">- законодательное изменение принципов планирования проектов внутренних капитальных вложений и их финансирования из республиканского бюджета - разработку перечня объектов строительства и реконструкции ежегодно на трехлетний период в составе среднесрочного плана социально-экономического развития, который будет служить основой для разработки республиканского и местных бюджетов;</w:t>
      </w:r>
    </w:p>
    <w:p>
      <w:pPr>
        <w:spacing w:after="60"/>
        <w:ind w:firstLine="567"/>
        <w:jc w:val="both"/>
      </w:pPr>
      <w:r>
        <w:rPr>
          <w:rFonts w:ascii="Arial" w:cs="Arial" w:eastAsia="Arial" w:hAnsi="Arial"/>
          <w:sz w:val="22"/>
          <w:szCs w:val="22"/>
        </w:rPr>
        <w:t xml:space="preserve">- законодательное изменение практики утверждения общей суммы капитальных вложений одной строкой и практики дальнейшего утверждения перечня объектов строительства и реконструкции Правительством Кыргызской Республики не позднее одного месяца после утверждения закона о республиканском бюджете и передачи в Жогорку Кенеш Кыргызской Республики;</w:t>
      </w:r>
    </w:p>
    <w:p>
      <w:pPr>
        <w:spacing w:after="60"/>
        <w:ind w:firstLine="567"/>
        <w:jc w:val="both"/>
      </w:pPr>
      <w:r>
        <w:rPr>
          <w:rFonts w:ascii="Arial" w:cs="Arial" w:eastAsia="Arial" w:hAnsi="Arial"/>
          <w:sz w:val="22"/>
          <w:szCs w:val="22"/>
        </w:rPr>
        <w:t xml:space="preserve">- пересмотр критериев отбора социальных объектов по статье капитальные вложения, особенно строительство школ с учетом демографического развития местного населения и возможности оптимизации сетей школьного образования.</w:t>
      </w:r>
    </w:p>
    <w:p>
      <w:pPr>
        <w:spacing w:after="200" w:before="200"/>
        <w:jc w:val="center"/>
      </w:pPr>
      <w:r>
        <w:rPr>
          <w:rFonts w:ascii="Arial" w:cs="Arial" w:eastAsia="Arial" w:hAnsi="Arial"/>
          <w:b/>
          <w:bCs/>
          <w:sz w:val="22"/>
          <w:szCs w:val="22"/>
        </w:rPr>
        <w:t xml:space="preserve">6.2. Стимулирующие (долевые) гранты</w:t>
      </w:r>
    </w:p>
    <w:p>
      <w:pPr>
        <w:spacing w:after="60"/>
        <w:ind w:firstLine="567"/>
        <w:jc w:val="both"/>
      </w:pPr>
      <w:r>
        <w:rPr>
          <w:rFonts w:ascii="Arial" w:cs="Arial" w:eastAsia="Arial" w:hAnsi="Arial"/>
          <w:sz w:val="22"/>
          <w:szCs w:val="22"/>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2"/>
          <w:szCs w:val="22"/>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60"/>
        <w:ind w:firstLine="567"/>
        <w:jc w:val="both"/>
      </w:pPr>
      <w:r>
        <w:rPr>
          <w:rFonts w:ascii="Arial" w:cs="Arial" w:eastAsia="Arial" w:hAnsi="Arial"/>
          <w:sz w:val="22"/>
          <w:szCs w:val="22"/>
        </w:rPr>
        <w:t xml:space="preserve">Согласно постановлению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2"/>
          <w:szCs w:val="22"/>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2"/>
          <w:szCs w:val="22"/>
        </w:rPr>
        <w:t xml:space="preserve">В 2018-2019 годы из республиканского бюджета за счет стимулирующих грантов осуществлено финансирование на общую сумму 758,0 млн. сомов.</w:t>
      </w:r>
    </w:p>
    <w:p>
      <w:pPr>
        <w:spacing w:after="60"/>
        <w:ind w:firstLine="567"/>
        <w:jc w:val="both"/>
      </w:pPr>
      <w:r>
        <w:rPr>
          <w:rFonts w:ascii="Arial" w:cs="Arial" w:eastAsia="Arial" w:hAnsi="Arial"/>
          <w:sz w:val="22"/>
          <w:szCs w:val="22"/>
        </w:rPr>
        <w:t xml:space="preserve">Распределение стимулирующих (долевых) грантов по категориям и областям за 2018-2020 годы выглядит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Распределение стимулирующих (долевых) грантов
 по областям за 2018-2020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914"/>
        <w:gridCol w:w="1297"/>
        <w:gridCol w:w="1297"/>
        <w:gridCol w:w="1298"/>
        <w:gridCol w:w="1298"/>
        <w:gridCol w:w="1298"/>
        <w:gridCol w:w="129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регионов</w:t>
            </w:r>
          </w:p>
        </w:tc>
        <w:tc>
          <w:tcPr>
            <w:tcW w:type="dxa" w:w="25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Распределение стимулирующих (долевых) грантов
 по категориям за 2018-2020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253"/>
        <w:gridCol w:w="1241"/>
        <w:gridCol w:w="1241"/>
        <w:gridCol w:w="1241"/>
        <w:gridCol w:w="1241"/>
        <w:gridCol w:w="1241"/>
        <w:gridCol w:w="1241"/>
      </w:tblGrid>
      <w:tr>
        <w:tc>
          <w:tcPr>
            <w:tcW w:type="dxa" w:w="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Категории</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 средства</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Школы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Детские сады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культурного 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спортивного назначения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70,3</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здравоохранения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инженерно-коммуникационной инфраструктуры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административного значения и прочие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w:t>
            </w:r>
          </w:p>
        </w:tc>
      </w:tr>
    </w:tbl>
    <w:p>
      <w:pPr>
        <w:spacing w:after="60" w:before="120"/>
        <w:ind w:firstLine="567"/>
        <w:jc w:val="both"/>
      </w:pPr>
      <w:r>
        <w:rPr>
          <w:rFonts w:ascii="Arial" w:cs="Arial" w:eastAsia="Arial" w:hAnsi="Arial"/>
          <w:sz w:val="22"/>
          <w:szCs w:val="22"/>
        </w:rPr>
        <w:t xml:space="preserve">В Законе Кыргызской Республики "О республиканском бюджете Кыргызской Республики на 2020 год и прогнозе на 2021-2022 годы" по статье стимулирующие (долевые) гранты предусмотрено 600,0 млн. сомов.</w:t>
      </w:r>
    </w:p>
    <w:p>
      <w:pPr>
        <w:spacing w:after="60"/>
        <w:ind w:firstLine="567"/>
        <w:jc w:val="both"/>
      </w:pPr>
      <w:r>
        <w:rPr>
          <w:rFonts w:ascii="Arial" w:cs="Arial" w:eastAsia="Arial" w:hAnsi="Arial"/>
          <w:sz w:val="22"/>
          <w:szCs w:val="22"/>
        </w:rPr>
        <w:t xml:space="preserve">В среднесрочном периоде на финансирование стимулирующих (долевых) грантов на 2021-2023 годы предусмотрено 600,0 млн. сомов ежегодно.</w:t>
      </w:r>
    </w:p>
    <w:p>
      <w:pPr>
        <w:spacing w:after="60"/>
        <w:ind w:firstLine="567"/>
        <w:jc w:val="both"/>
      </w:pPr>
      <w:r>
        <w:rPr>
          <w:rFonts w:ascii="Arial" w:cs="Arial" w:eastAsia="Arial" w:hAnsi="Arial"/>
          <w:sz w:val="22"/>
          <w:szCs w:val="22"/>
        </w:rPr>
        <w:t xml:space="preserve">Аспекты совершенствования политики распределения стимулирующих (долевых) грантов:</w:t>
      </w:r>
    </w:p>
    <w:p>
      <w:pPr>
        <w:spacing w:after="60"/>
        <w:ind w:firstLine="567"/>
        <w:jc w:val="both"/>
      </w:pPr>
      <w:r>
        <w:rPr>
          <w:rFonts w:ascii="Arial" w:cs="Arial" w:eastAsia="Arial" w:hAnsi="Arial"/>
          <w:sz w:val="22"/>
          <w:szCs w:val="22"/>
        </w:rPr>
        <w:t xml:space="preserve">1) пересмотр порога доли софинансирования проектов или сделать его прогрессивным в зависимости от доходного потенциала органов местного самоуправления;</w:t>
      </w:r>
    </w:p>
    <w:p>
      <w:pPr>
        <w:spacing w:after="60"/>
        <w:ind w:firstLine="567"/>
        <w:jc w:val="both"/>
      </w:pPr>
      <w:r>
        <w:rPr>
          <w:rFonts w:ascii="Arial" w:cs="Arial" w:eastAsia="Arial" w:hAnsi="Arial"/>
          <w:sz w:val="22"/>
          <w:szCs w:val="22"/>
        </w:rPr>
        <w:t xml:space="preserve">2) пересмотр временных ограничений для реализации проектов стимулирующих (долевых) грантов;</w:t>
      </w:r>
    </w:p>
    <w:p>
      <w:pPr>
        <w:spacing w:after="60"/>
        <w:ind w:firstLine="567"/>
        <w:jc w:val="both"/>
      </w:pPr>
      <w:r>
        <w:rPr>
          <w:rFonts w:ascii="Arial" w:cs="Arial" w:eastAsia="Arial" w:hAnsi="Arial"/>
          <w:sz w:val="22"/>
          <w:szCs w:val="22"/>
        </w:rPr>
        <w:t xml:space="preserve">3) в среднесрочной перспективе замещение или совмещение распределения стимулирующих (долевых) грантов местными бюджетами развития.</w:t>
      </w:r>
    </w:p>
    <w:p>
      <w:pPr>
        <w:spacing w:after="200" w:before="200"/>
        <w:jc w:val="center"/>
      </w:pPr>
      <w:r>
        <w:rPr>
          <w:rFonts w:ascii="Arial" w:cs="Arial" w:eastAsia="Arial" w:hAnsi="Arial"/>
          <w:b/>
          <w:bCs/>
          <w:sz w:val="22"/>
          <w:szCs w:val="22"/>
        </w:rPr>
        <w:t xml:space="preserve">6.3. Внешнее финансирование (кредиты и гранты)</w:t>
      </w:r>
    </w:p>
    <w:p>
      <w:pPr>
        <w:spacing w:after="60"/>
        <w:ind w:firstLine="567"/>
        <w:jc w:val="both"/>
      </w:pPr>
      <w:r>
        <w:rPr>
          <w:rFonts w:ascii="Arial" w:cs="Arial" w:eastAsia="Arial" w:hAnsi="Arial"/>
          <w:sz w:val="22"/>
          <w:szCs w:val="22"/>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before="200"/>
        <w:ind w:firstLine="567"/>
        <w:jc w:val="both"/>
      </w:pPr>
      <w:r>
        <w:rPr>
          <w:rFonts w:ascii="Arial" w:cs="Arial" w:eastAsia="Arial" w:hAnsi="Arial"/>
          <w:b/>
          <w:bCs/>
          <w:sz w:val="22"/>
          <w:szCs w:val="22"/>
        </w:rPr>
        <w:t xml:space="preserve">1. Краткий обзор реализации ГИ за 2018-2019 годы</w:t>
      </w:r>
    </w:p>
    <w:p>
      <w:pPr>
        <w:spacing w:after="60"/>
        <w:ind w:firstLine="567"/>
        <w:jc w:val="both"/>
      </w:pPr>
      <w:r>
        <w:rPr>
          <w:rFonts w:ascii="Arial" w:cs="Arial" w:eastAsia="Arial" w:hAnsi="Arial"/>
          <w:sz w:val="22"/>
          <w:szCs w:val="22"/>
        </w:rPr>
        <w:t xml:space="preserve">В период 2018-2019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2"/>
          <w:szCs w:val="22"/>
        </w:rPr>
        <w:t xml:space="preserve">Среднегодовое использование средств внешних займов и грантов для реализации проектов ГИ в 2018 и 2019 г. составило 16570,0 млн. сомов (для сравнения в 2017-2018 гг. - 21357,0 млн. сомов).</w:t>
      </w:r>
    </w:p>
    <w:p>
      <w:pPr>
        <w:spacing w:after="60"/>
        <w:ind w:firstLine="567"/>
        <w:jc w:val="both"/>
      </w:pPr>
      <w:r>
        <w:rPr>
          <w:rFonts w:ascii="Arial" w:cs="Arial" w:eastAsia="Arial" w:hAnsi="Arial"/>
          <w:sz w:val="22"/>
          <w:szCs w:val="22"/>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before="200"/>
        <w:ind w:firstLine="567"/>
        <w:jc w:val="both"/>
      </w:pPr>
      <w:r>
        <w:rPr>
          <w:rFonts w:ascii="Arial" w:cs="Arial" w:eastAsia="Arial" w:hAnsi="Arial"/>
          <w:b/>
          <w:bCs/>
          <w:sz w:val="22"/>
          <w:szCs w:val="22"/>
        </w:rPr>
        <w:t xml:space="preserve">2. Показатели бюджета ГИ на 2020 год</w:t>
      </w:r>
    </w:p>
    <w:p>
      <w:pPr>
        <w:spacing w:after="60"/>
        <w:ind w:firstLine="567"/>
        <w:jc w:val="both"/>
      </w:pPr>
      <w:r>
        <w:rPr>
          <w:rFonts w:ascii="Arial" w:cs="Arial" w:eastAsia="Arial" w:hAnsi="Arial"/>
          <w:sz w:val="22"/>
          <w:szCs w:val="22"/>
        </w:rPr>
        <w:t xml:space="preserve">В 2020 году сумма бюджетного финансирования государственных инвестиций из всех источников составит 32054,9 млн. сомов. При этом доля внешнего финансирования за счет займов и грантов составит 31136,3 млн. сомов или 97,1% от общей суммы финансирования, на софинансирование проектов будет использовано 918,6 млн. сомов или 2,9% от общей суммы финансирования.</w:t>
      </w:r>
    </w:p>
    <w:p>
      <w:pPr>
        <w:spacing w:after="60"/>
        <w:ind w:firstLine="567"/>
        <w:jc w:val="both"/>
      </w:pPr>
      <w:r>
        <w:rPr>
          <w:rFonts w:ascii="Arial" w:cs="Arial" w:eastAsia="Arial" w:hAnsi="Arial"/>
          <w:sz w:val="22"/>
          <w:szCs w:val="22"/>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29602,2 млн. сомов или 92,3% от общих расходов. В социальный сектор будет направлено 2452,6 млн. сомов, из которых: Министерству образования и науки ожидается 192,9 млн. сомов; Министерству здравоохранения 2259,7 млн. сомов.</w:t>
      </w:r>
    </w:p>
    <w:p>
      <w:pPr>
        <w:spacing w:after="60" w:before="200"/>
        <w:ind w:firstLine="567"/>
        <w:jc w:val="both"/>
      </w:pPr>
      <w:r>
        <w:rPr>
          <w:rFonts w:ascii="Arial" w:cs="Arial" w:eastAsia="Arial" w:hAnsi="Arial"/>
          <w:b/>
          <w:bCs/>
          <w:sz w:val="22"/>
          <w:szCs w:val="22"/>
        </w:rPr>
        <w:t xml:space="preserve">3. Инвестиционная политика в 2021-2023 годы</w:t>
      </w:r>
    </w:p>
    <w:p>
      <w:pPr>
        <w:spacing w:after="60"/>
        <w:ind w:firstLine="567"/>
        <w:jc w:val="both"/>
      </w:pPr>
      <w:r>
        <w:rPr>
          <w:rFonts w:ascii="Arial" w:cs="Arial" w:eastAsia="Arial" w:hAnsi="Arial"/>
          <w:sz w:val="22"/>
          <w:szCs w:val="22"/>
        </w:rPr>
        <w:t xml:space="preserve">В 2021-2023 гг.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2"/>
          <w:szCs w:val="22"/>
        </w:rPr>
        <w:t xml:space="preserve">В период с 2021 по 2023 годы общая сумма бюджетного финансирования государственных инвестиций из всех источников составит 93968,5 млн. сомов. При этом доля внешнего финансирования за счет займов и грантов составит 88851,6 млн. сомов (94,6% от общей суммы финансирования), на софинансирование проектов ГИ будет использовано 5116,9 млн. сомов (5,4%).</w:t>
      </w:r>
    </w:p>
    <w:p>
      <w:pPr>
        <w:spacing w:after="60"/>
        <w:ind w:firstLine="567"/>
        <w:jc w:val="both"/>
      </w:pPr>
      <w:r>
        <w:rPr>
          <w:rFonts w:ascii="Arial" w:cs="Arial" w:eastAsia="Arial" w:hAnsi="Arial"/>
          <w:sz w:val="22"/>
          <w:szCs w:val="22"/>
        </w:rPr>
        <w:t xml:space="preserve">В этот период 2021-2023 годы доминирующую роль будет играть экономический блок, на который будет приходиться 89,3% всего финансирования (83861,3 млн. сомов). Необходимо отметить, что экономический блок включает такие направления как сельское хозяйство, транспорт, энергетику, водоснабжение и социальную инфраструктуру, куда направляются значительные объемы государственных инвестиций.</w:t>
      </w:r>
    </w:p>
    <w:p>
      <w:pPr>
        <w:spacing w:after="60"/>
        <w:ind w:firstLine="567"/>
        <w:jc w:val="both"/>
      </w:pPr>
      <w:r>
        <w:rPr>
          <w:rFonts w:ascii="Arial" w:cs="Arial" w:eastAsia="Arial" w:hAnsi="Arial"/>
          <w:sz w:val="22"/>
          <w:szCs w:val="22"/>
        </w:rPr>
        <w:t xml:space="preserve">На социальный сектор будет направлено 7289,7 млн. сомов или 7,8% от общего объема финансирования.</w:t>
      </w:r>
    </w:p>
    <w:p>
      <w:pPr>
        <w:spacing w:after="60"/>
        <w:ind w:firstLine="567"/>
        <w:jc w:val="both"/>
      </w:pPr>
      <w:r>
        <w:rPr>
          <w:rFonts w:ascii="Arial" w:cs="Arial" w:eastAsia="Arial" w:hAnsi="Arial"/>
          <w:sz w:val="22"/>
          <w:szCs w:val="22"/>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4640,8 млн. сомов.</w:t>
      </w:r>
    </w:p>
    <w:p>
      <w:pPr>
        <w:spacing w:after="60"/>
        <w:ind w:firstLine="567"/>
        <w:jc w:val="both"/>
      </w:pPr>
      <w:r>
        <w:rPr>
          <w:rFonts w:ascii="Arial" w:cs="Arial" w:eastAsia="Arial" w:hAnsi="Arial"/>
          <w:sz w:val="22"/>
          <w:szCs w:val="22"/>
        </w:rPr>
        <w:t xml:space="preserve">В секторе здравоохранения реализуются следующие проекты.</w:t>
      </w:r>
    </w:p>
    <w:p>
      <w:pPr>
        <w:spacing w:after="60"/>
        <w:ind w:firstLine="567"/>
        <w:jc w:val="both"/>
      </w:pPr>
      <w:r>
        <w:rPr>
          <w:rFonts w:ascii="Arial" w:cs="Arial" w:eastAsia="Arial" w:hAnsi="Arial"/>
          <w:sz w:val="22"/>
          <w:szCs w:val="22"/>
        </w:rPr>
        <w:t xml:space="preserve">"Борьба с туберкулезом-V"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а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для оплаты консультационных услуг.</w:t>
      </w:r>
    </w:p>
    <w:p>
      <w:pPr>
        <w:spacing w:after="60"/>
        <w:ind w:firstLine="567"/>
        <w:jc w:val="both"/>
      </w:pPr>
      <w:r>
        <w:rPr>
          <w:rFonts w:ascii="Arial" w:cs="Arial" w:eastAsia="Arial" w:hAnsi="Arial"/>
          <w:sz w:val="22"/>
          <w:szCs w:val="22"/>
        </w:rPr>
        <w:t xml:space="preserve">Средства проекта "Создание национальной системы экстренной медицины-II"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квалификации медицинских работников.</w:t>
      </w:r>
    </w:p>
    <w:p>
      <w:pPr>
        <w:spacing w:after="60"/>
        <w:ind w:firstLine="567"/>
        <w:jc w:val="both"/>
      </w:pPr>
      <w:r>
        <w:rPr>
          <w:rFonts w:ascii="Arial" w:cs="Arial" w:eastAsia="Arial" w:hAnsi="Arial"/>
          <w:sz w:val="22"/>
          <w:szCs w:val="22"/>
        </w:rPr>
        <w:t xml:space="preserve">Проект "Охрана материнства и детства IV-V"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2"/>
          <w:szCs w:val="22"/>
        </w:rPr>
        <w:t xml:space="preserve">Также планируется начать реализацию новых проектов "Строительство нового корпуса для Городской детской клинической больницы скорой медицинской помощи города Бишкек", "Строительство и оснащение нейрохирургического центра Национального госпиталя", "Экстренный проект COVID 19" (ВБ) и "Чрезвычайный проект по пандемии COVID-19" (АБР).</w:t>
      </w:r>
    </w:p>
    <w:p>
      <w:pPr>
        <w:spacing w:after="60"/>
        <w:ind w:firstLine="567"/>
        <w:jc w:val="both"/>
      </w:pPr>
      <w:r>
        <w:rPr>
          <w:rFonts w:ascii="Arial" w:cs="Arial" w:eastAsia="Arial" w:hAnsi="Arial"/>
          <w:sz w:val="22"/>
          <w:szCs w:val="22"/>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с момента их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2"/>
          <w:szCs w:val="22"/>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2"/>
          <w:szCs w:val="22"/>
        </w:rPr>
        <w:t xml:space="preserve">"Экстренный проект COVID 19" (ВБ) будет направлен на укрепление эпидемиологического надзора и контроля по раннему выявлению и подтверждению лиц инфицированных COVID-19, а также усилению готовности системы оказания медицинской помощи, с минимизацией рисков для медицинского персонала и пациентов с COVID-19.</w:t>
      </w:r>
    </w:p>
    <w:p>
      <w:pPr>
        <w:spacing w:after="60"/>
        <w:ind w:firstLine="567"/>
        <w:jc w:val="both"/>
      </w:pPr>
      <w:r>
        <w:rPr>
          <w:rFonts w:ascii="Arial" w:cs="Arial" w:eastAsia="Arial" w:hAnsi="Arial"/>
          <w:sz w:val="22"/>
          <w:szCs w:val="22"/>
        </w:rPr>
        <w:t xml:space="preserve">В рамках "Чрезвычайного проекта по пандемии COVID-19" (АБР) будет оказана поддержка в переоснащении медицинских учреждений в карантинные лечебные центры, включая меры по профилактике инфекций и борьбе с ними, а также в поощрении персонала в форме выплаты надбавок за работу в трудных условиях. В рамках проекта будут также закуплены, в частности, СИЗ с лицевыми масками и щитками; основное оборудование, включая аппараты ИВЛ, кислородные аппараты, мониторы, изделия медицинского назначения, а также машины скорой помощи.</w:t>
      </w:r>
    </w:p>
    <w:p>
      <w:pPr>
        <w:spacing w:after="60"/>
        <w:ind w:firstLine="567"/>
        <w:jc w:val="both"/>
      </w:pPr>
      <w:r>
        <w:rPr>
          <w:rFonts w:ascii="Arial" w:cs="Arial" w:eastAsia="Arial" w:hAnsi="Arial"/>
          <w:sz w:val="22"/>
          <w:szCs w:val="22"/>
        </w:rPr>
        <w:t xml:space="preserve">Также финансирование направлено в сектор образования, общая сумма составляет 2649,0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2"/>
          <w:szCs w:val="22"/>
        </w:rPr>
        <w:t xml:space="preserve">В этот период сельское хозяйство, включая ирригацию, будет поддержано финансированием следующих проектов: "Развитие животноводства и рынка - II" (МФСР), "Повышение производительности в сельском хозяйстве и улучшение питания" (Глобальный фонд по с/х и продовольственной безопасности), "Комплексное развитие производительности молочного сектора" (ВБ), "Развитие ирригационной системы Сарымсак в Кыргызской Республике" (ИБР), Проект "Обеспечения доступа к рынкам" (МФСР) и других, на инвестирование которых будет направлено 4163,3 млн. сомов.</w:t>
      </w:r>
    </w:p>
    <w:p>
      <w:pPr>
        <w:spacing w:after="60"/>
        <w:ind w:firstLine="567"/>
        <w:jc w:val="both"/>
      </w:pPr>
      <w:r>
        <w:rPr>
          <w:rFonts w:ascii="Arial" w:cs="Arial" w:eastAsia="Arial" w:hAnsi="Arial"/>
          <w:sz w:val="22"/>
          <w:szCs w:val="22"/>
        </w:rPr>
        <w:t xml:space="preserve">Проекты в сельском хозяйстве направлены на улучшение условий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2"/>
          <w:szCs w:val="22"/>
        </w:rPr>
        <w:t xml:space="preserve">В этот период будут реализовываться ряд крупных проектов в секторе транспорта на общую сумму 24252,8 млн. сомов.</w:t>
      </w:r>
    </w:p>
    <w:p>
      <w:pPr>
        <w:spacing w:after="60"/>
        <w:ind w:firstLine="567"/>
        <w:jc w:val="both"/>
      </w:pPr>
      <w:r>
        <w:rPr>
          <w:rFonts w:ascii="Arial" w:cs="Arial" w:eastAsia="Arial" w:hAnsi="Arial"/>
          <w:sz w:val="22"/>
          <w:szCs w:val="22"/>
        </w:rPr>
        <w:t xml:space="preserve">Проекты "Строительство альтернативной дороги Север-Юг" (ИБР(5), СФР(6)), "Реабилитация автомобильной дороги Ош-Баткен-Исфана" (ИБР), Проект "Улучшение коридора ЦАРЭС(7) 3 (автодорога Бишкек-Ош)", Фаза 4 (АБР), "Строительство альтернативной дороги Север-Юг", Фаза 1 и Фаза 2" (КНР), Проект "Соединительной дороги, коридоры ЦАРЭС 1 и ЦАРЭС 3" (АБР), Проект "Улучшение дорог международного значения" (JICA(8)), "Реконструкция автомобильной дороги Бишкек-Ош, Фаза IV" (ЕАБР), Проект "Противолавинная защита автодороги Бишкек-Ош" (JICA)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Значительные расходы приходятся также на энергетический сектор - 30811,7 млн. сомов. В энергетическом секторе будут реализовываться проекты "Реабилитация Токтогульской ГЭС, Фаза II" (АБР, ЕАБР), "Реабилитация Токтогульской ГЭС, Фаза III" (АБР). "Реконструкция Атбашинской ГЭС" (Швейцария), "Проект улучшения теплоснабжения" (ВБ), "Улучшение электроснабжения Аркинского массива Лейлекского района" (ИБР)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 Кроме того, намечается реализация крупных проектов, таких как Проект "CASA-1000" (ВБ, ЕИБ(9), ИБР), "Ввод в эксплуатацию второго гидроагрегата Камбаратинской ГЭС-2" (ЕАБР), "Реабилитация Уч-Курганской ГЭС" (АБР) и др.</w:t>
      </w:r>
    </w:p>
    <w:p>
      <w:pPr>
        <w:spacing w:after="60"/>
        <w:ind w:firstLine="567"/>
        <w:jc w:val="both"/>
      </w:pPr>
      <w:r>
        <w:rPr>
          <w:rFonts w:ascii="Arial" w:cs="Arial" w:eastAsia="Arial" w:hAnsi="Arial"/>
          <w:sz w:val="22"/>
          <w:szCs w:val="22"/>
        </w:rPr>
        <w:t xml:space="preserve">По 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2062,1 млн. сомов. Продолжится реализация проектов "Улучшение системы управления твердыми отходами в г.Бишкек" (ИФЦА-ЕБРР), "Улучшение системы управления твердыми отходами в г.Ош" (ИФЦА, ЕИБ, ЕБРР) и "Строительство государственных школ".</w:t>
      </w:r>
    </w:p>
    <w:p>
      <w:pPr>
        <w:spacing w:after="60"/>
        <w:ind w:firstLine="567"/>
        <w:jc w:val="both"/>
      </w:pPr>
      <w:r>
        <w:rPr>
          <w:rFonts w:ascii="Arial" w:cs="Arial" w:eastAsia="Arial" w:hAnsi="Arial"/>
          <w:sz w:val="22"/>
          <w:szCs w:val="22"/>
        </w:rPr>
        <w:t xml:space="preserve">По Государственному агентству водных ресурсов при Правительстве Кыргызской Республики также предусматривается значительный объем финансирования на общую сумму 15923,3 млн. сомов для реализации проектов в сфере питьевого водоснабжения. Продолжится реализация проектов: "Улучшение водоснабжения г.Бишкек (Фаза II)" (ЕБРР-СЭКО), "Реабилитация водоснабжения и канализации г.Талас" (ЕБРР-СЕКО), "Реабилитация водоснабжения и канализации г.Кант" (ЕБРР-СЭКО), "Реабилитация водоснабжения и канализации в г.Баткен" (ИФЦА, ЕБРР), "Реабилитация водоснабжения и канализации г.Нарын" (СЭКО-ЕБРР), "Реабилитация системы водоснабжения и канализации в г.Ош Фаза-2" (ЕБРР, ИФЦА, ЕИБ), "Реабилитация системы водоснабжения и канализации в городах Кара-Суу, Кызыл-Кия, Майлуу-Суу, Чолпон-Ата, Токмок, Балыкчы, Токтогул (ЕБРР, ИФЦА, ЕИБ) и другие.</w:t>
      </w:r>
    </w:p>
    <w:p>
      <w:pPr>
        <w:spacing w:after="60"/>
        <w:ind w:firstLine="567"/>
        <w:jc w:val="both"/>
      </w:pPr>
      <w:r>
        <w:rPr>
          <w:rFonts w:ascii="Arial" w:cs="Arial" w:eastAsia="Arial" w:hAnsi="Arial"/>
          <w:sz w:val="22"/>
          <w:szCs w:val="22"/>
        </w:rPr>
        <w:t xml:space="preserve">Основная цель государственных инвестиций в водном секторе - усиление координации действий и улучшение в области водоснабжения, канализации, санитарии и гигиены, чтобы обеспечить достижение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2"/>
          <w:szCs w:val="22"/>
        </w:rPr>
        <w:t xml:space="preserve">По 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2271,0 млн. сомов. Будут реализовываться следующие проекты: "Третий проект сельских инвестиций" (ВБ), "Проект поддержки местных сообществ СASА 1000", "Устойчивое развитие сел в Кыргызской Республике" (ИБР), "Проект городского развития" (ВБ), Проект регионального экономического развития (ВБ)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2"/>
          <w:szCs w:val="22"/>
        </w:rPr>
        <w:t xml:space="preserve">По Министерству финансов Кыргызской Республики будут реализовываться проекты: "Цепочка добавленной стоимости агрофинансирования" (КфВ), "Цепочка добавленной стоимости агрофинансирования-2" (ИФЦА) на общую сумму 38,3 млн. сомов.</w:t>
      </w:r>
    </w:p>
    <w:p>
      <w:pPr>
        <w:spacing w:after="60"/>
        <w:ind w:firstLine="567"/>
        <w:jc w:val="both"/>
      </w:pPr>
      <w:r>
        <w:rPr>
          <w:rFonts w:ascii="Arial" w:cs="Arial" w:eastAsia="Arial" w:hAnsi="Arial"/>
          <w:sz w:val="22"/>
          <w:szCs w:val="22"/>
        </w:rPr>
        <w:t xml:space="preserve">По Министерству экономики Кыргызской Республики продолжится реализация проектов: "Региональное улучшение приграничных служб" (АБР) и Программа жилищного финансирования (КфВ) на общую сумму 219,1 млн. сомов.</w:t>
      </w:r>
    </w:p>
    <w:p>
      <w:pPr>
        <w:spacing w:after="60"/>
        <w:ind w:firstLine="567"/>
        <w:jc w:val="both"/>
      </w:pPr>
      <w:r>
        <w:rPr>
          <w:rFonts w:ascii="Arial" w:cs="Arial" w:eastAsia="Arial" w:hAnsi="Arial"/>
          <w:sz w:val="22"/>
          <w:szCs w:val="22"/>
        </w:rPr>
        <w:t xml:space="preserve">Министерством чрезвычайных ситуаций Кыргызской Республики будут реализовываться проекты: "Модернизация гидрометеорологического обслуживания в Центральной Азии" (ВБ),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3447,5 млн. сомов. Также планируется реализация проекта по реабилитации аварийных школ.</w:t>
      </w:r>
    </w:p>
    <w:p>
      <w:pPr>
        <w:spacing w:after="60"/>
        <w:ind w:firstLine="567"/>
        <w:jc w:val="both"/>
      </w:pPr>
      <w:r>
        <w:rPr>
          <w:rFonts w:ascii="Arial" w:cs="Arial" w:eastAsia="Arial" w:hAnsi="Arial"/>
          <w:sz w:val="22"/>
          <w:szCs w:val="22"/>
        </w:rPr>
        <w:t xml:space="preserve">Государственным агентством охраны окружающей среды и лесного хозяйства при Правительстве Кыргызской Республики продолжится реализация проекта "Интегрированное управление лесными экосистемами Кыргызской Республики" (ВБ) на общую сумму 362,4 млн. сомов. Данный проект направлен на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2"/>
          <w:szCs w:val="22"/>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3127,2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161"/>
        <w:gridCol w:w="1161"/>
        <w:gridCol w:w="1171"/>
        <w:gridCol w:w="1399"/>
        <w:gridCol w:w="1399"/>
        <w:gridCol w:w="1399"/>
      </w:tblGrid>
      <w:tr>
        <w:tc>
          <w:tcPr>
            <w:tcW w:type="dxa" w:w="24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5737,4</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5272,6</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9337,6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9074,9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9245,3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6915,9</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9087,3</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13042,8</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21798,6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20636,5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21789,8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21189,2</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14824,7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18315,4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31136,3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29711,4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31035,1</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28105,1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9"/>
        <w:gridCol w:w="1401"/>
        <w:gridCol w:w="1401"/>
        <w:gridCol w:w="1425"/>
        <w:gridCol w:w="1594"/>
        <w:gridCol w:w="1594"/>
        <w:gridCol w:w="1594"/>
      </w:tblGrid>
      <w:tr>
        <w:tc>
          <w:tcPr>
            <w:tcW w:type="dxa" w:w="1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557113,3</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w:t>
            </w:r>
          </w:p>
        </w:tc>
      </w:tr>
      <w:tr>
        <w:tc>
          <w:tcPr>
            <w:tcW w:type="dxa" w:w="1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4,7%</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Внешнее финансирование (% от общей суммы доходов)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6"/>
        <w:gridCol w:w="1229"/>
        <w:gridCol w:w="1229"/>
        <w:gridCol w:w="1233"/>
        <w:gridCol w:w="1343"/>
        <w:gridCol w:w="1343"/>
        <w:gridCol w:w="1343"/>
      </w:tblGrid>
      <w:tr>
        <w:tc>
          <w:tcPr>
            <w:tcW w:type="dxa" w:w="2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Общие доходы государственного бюджета, (млн. сомов)</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151540,4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167328,6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153882,0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189687,7</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196449,3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195112,6</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Гранты</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24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9,8%</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10,9%</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Механизмы предоставления внешнего финансирования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161"/>
        <w:gridCol w:w="1161"/>
        <w:gridCol w:w="1171"/>
        <w:gridCol w:w="1399"/>
        <w:gridCol w:w="1399"/>
        <w:gridCol w:w="1399"/>
      </w:tblGrid>
      <w:tr>
        <w:tc>
          <w:tcPr>
            <w:tcW w:type="dxa" w:w="24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14824,7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18315,4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31136,3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31035,1</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28105,1</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Внутреннее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912,1</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804,0</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1413,0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1390,5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1905,8</w:t>
            </w:r>
          </w:p>
        </w:tc>
      </w:tr>
      <w:tr>
        <w:tc>
          <w:tcPr>
            <w:tcW w:type="dxa" w:w="2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15736,8</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19119,4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32549,3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31101,9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32855,8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30010,9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Механизмы предоставления внешнего финансирования
 (% от общего значения)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2"/>
        <w:gridCol w:w="1089"/>
        <w:gridCol w:w="1089"/>
        <w:gridCol w:w="1150"/>
        <w:gridCol w:w="1433"/>
        <w:gridCol w:w="1433"/>
        <w:gridCol w:w="1433"/>
      </w:tblGrid>
      <w:tr>
        <w:tc>
          <w:tcPr>
            <w:tcW w:type="dxa" w:w="2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r>
      <w:tr>
        <w:tc>
          <w:tcPr>
            <w:tcW w:type="dxa" w:w="2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Внутреннее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Детальный прогноз внешнего финансирования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1144"/>
        <w:gridCol w:w="1144"/>
        <w:gridCol w:w="1154"/>
        <w:gridCol w:w="1382"/>
        <w:gridCol w:w="1382"/>
        <w:gridCol w:w="1382"/>
      </w:tblGrid>
      <w:tr>
        <w:tc>
          <w:tcPr>
            <w:tcW w:type="dxa" w:w="2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Государственные инвестиции</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 (факт)</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 (факт)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 (оцен.)</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 (прогноз)</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 (прогноз)</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 (прогноз)</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 правительств иностранных государств</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4686,3</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8184,3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7704,0</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5518,4</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 международных организаций</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10138,4</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26608,5</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23295,7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23331,0</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22586,7</w:t>
            </w:r>
          </w:p>
        </w:tc>
      </w:tr>
    </w:tbl>
    <w:p>
      <w:pPr>
        <w:spacing w:after="120" w:before="200"/>
        <w:ind w:firstLine="567"/>
        <w:jc w:val="both"/>
      </w:pPr>
      <w:r>
        <w:rPr>
          <w:rFonts w:ascii="Arial" w:cs="Arial" w:eastAsia="Arial" w:hAnsi="Arial"/>
          <w:b/>
          <w:bCs/>
          <w:sz w:val="22"/>
          <w:szCs w:val="22"/>
        </w:rPr>
        <w:t xml:space="preserve">Список принятых сокращений:</w:t>
      </w:r>
    </w:p>
    <w:p>
      <w:pPr>
        <w:tabs>
          <w:tab w:val="right" w:pos="10178"/>
        </w:tabs>
        <w:spacing w:after="120"/>
      </w:pPr>
      <w:r>
        <w:rPr>
          <w:rFonts w:ascii="Arial" w:cs="Arial" w:eastAsia="Arial" w:hAnsi="Arial"/>
          <w:b/>
          <w:bCs/>
          <w:sz w:val="22"/>
          <w:szCs w:val="22"/>
        </w:rPr>
        <w:t xml:space="preserve">МФСР</w:t>
      </w:r>
      <w:r>
        <w:rPr>
          <w:rFonts w:ascii="Arial" w:cs="Arial" w:eastAsia="Arial" w:hAnsi="Arial"/>
          <w:sz w:val="24"/>
          <w:szCs w:val="24"/>
        </w:rPr>
        <w:t xml:space="preserve">	</w:t>
      </w:r>
      <w:r>
        <w:rPr>
          <w:rFonts w:ascii="Arial" w:cs="Arial" w:eastAsia="Arial" w:hAnsi="Arial"/>
          <w:sz w:val="22"/>
          <w:szCs w:val="22"/>
        </w:rPr>
        <w:t xml:space="preserve">Международный фонд сельскохозяйственного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экспортеров нефти</w:t>
      </w:r>
    </w:p>
    <w:p>
      <w:pPr>
        <w:tabs>
          <w:tab w:val="right" w:pos="10178"/>
        </w:tabs>
        <w:spacing w:after="120"/>
      </w:pPr>
      <w:r>
        <w:rPr>
          <w:rFonts w:ascii="Arial" w:cs="Arial" w:eastAsia="Arial" w:hAnsi="Arial"/>
          <w:b/>
          <w:bCs/>
          <w:sz w:val="22"/>
          <w:szCs w:val="22"/>
        </w:rPr>
        <w:t xml:space="preserve">ФРАД</w:t>
      </w:r>
      <w:r>
        <w:rPr>
          <w:rFonts w:ascii="Arial" w:cs="Arial" w:eastAsia="Arial" w:hAnsi="Arial"/>
          <w:sz w:val="24"/>
          <w:szCs w:val="24"/>
        </w:rPr>
        <w:t xml:space="preserve">	</w:t>
      </w:r>
      <w:r>
        <w:rPr>
          <w:rFonts w:ascii="Arial" w:cs="Arial" w:eastAsia="Arial" w:hAnsi="Arial"/>
          <w:sz w:val="22"/>
          <w:szCs w:val="22"/>
        </w:rPr>
        <w:t xml:space="preserve">Фонд развития Абу-Даби</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АКГ</w:t>
      </w:r>
      <w:r>
        <w:rPr>
          <w:rFonts w:ascii="Arial" w:cs="Arial" w:eastAsia="Arial" w:hAnsi="Arial"/>
          <w:sz w:val="24"/>
          <w:szCs w:val="24"/>
        </w:rPr>
        <w:t xml:space="preserve">	</w:t>
      </w:r>
      <w:r>
        <w:rPr>
          <w:rFonts w:ascii="Arial" w:cs="Arial" w:eastAsia="Arial" w:hAnsi="Arial"/>
          <w:sz w:val="22"/>
          <w:szCs w:val="22"/>
        </w:rPr>
        <w:t xml:space="preserve">Арабская координационная группа</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СЭКО</w:t>
      </w:r>
      <w:r>
        <w:rPr>
          <w:rFonts w:ascii="Arial" w:cs="Arial" w:eastAsia="Arial" w:hAnsi="Arial"/>
          <w:sz w:val="24"/>
          <w:szCs w:val="24"/>
        </w:rPr>
        <w:t xml:space="preserve">	</w:t>
      </w:r>
      <w:r>
        <w:rPr>
          <w:rFonts w:ascii="Arial" w:cs="Arial" w:eastAsia="Arial" w:hAnsi="Arial"/>
          <w:sz w:val="22"/>
          <w:szCs w:val="22"/>
        </w:rPr>
        <w:t xml:space="preserve">Государственный секретариат Швейцарии по экономическим вопросам</w:t>
      </w:r>
    </w:p>
    <w:p>
      <w:pPr>
        <w:tabs>
          <w:tab w:val="right" w:pos="10178"/>
        </w:tabs>
        <w:spacing w:after="120"/>
      </w:pPr>
      <w:r>
        <w:rPr>
          <w:rFonts w:ascii="Arial" w:cs="Arial" w:eastAsia="Arial" w:hAnsi="Arial"/>
          <w:b/>
          <w:bCs/>
          <w:sz w:val="22"/>
          <w:szCs w:val="22"/>
        </w:rPr>
        <w:t xml:space="preserve">ИФЦА</w:t>
      </w:r>
      <w:r>
        <w:rPr>
          <w:rFonts w:ascii="Arial" w:cs="Arial" w:eastAsia="Arial" w:hAnsi="Arial"/>
          <w:sz w:val="24"/>
          <w:szCs w:val="24"/>
        </w:rPr>
        <w:t xml:space="preserve">	</w:t>
      </w:r>
      <w:r>
        <w:rPr>
          <w:rFonts w:ascii="Arial" w:cs="Arial" w:eastAsia="Arial" w:hAnsi="Arial"/>
          <w:sz w:val="22"/>
          <w:szCs w:val="22"/>
        </w:rPr>
        <w:t xml:space="preserve">Инвестиционный фонд для стран Центральной Азии (ЕС)</w:t>
      </w:r>
    </w:p>
    <w:p>
      <w:pPr>
        <w:tabs>
          <w:tab w:val="right" w:pos="10178"/>
        </w:tabs>
        <w:spacing w:after="120"/>
      </w:pPr>
      <w:r>
        <w:rPr>
          <w:rFonts w:ascii="Arial" w:cs="Arial" w:eastAsia="Arial" w:hAnsi="Arial"/>
          <w:b/>
          <w:bCs/>
          <w:sz w:val="22"/>
          <w:szCs w:val="22"/>
        </w:rPr>
        <w:t xml:space="preserve">КфВ</w:t>
      </w:r>
      <w:r>
        <w:rPr>
          <w:rFonts w:ascii="Arial" w:cs="Arial" w:eastAsia="Arial" w:hAnsi="Arial"/>
          <w:sz w:val="24"/>
          <w:szCs w:val="24"/>
        </w:rPr>
        <w:t xml:space="preserve">	</w:t>
      </w:r>
      <w:r>
        <w:rPr>
          <w:rFonts w:ascii="Arial" w:cs="Arial" w:eastAsia="Arial" w:hAnsi="Arial"/>
          <w:sz w:val="22"/>
          <w:szCs w:val="22"/>
        </w:rPr>
        <w:t xml:space="preserve">Немецкий банк развития (Kreditanstalt f</w:t>
      </w:r>
      <w:r>
        <w:rPr>
          <w:rFonts w:ascii="Arial" w:cs="Arial" w:eastAsia="Arial" w:hAnsi="Arial"/>
          <w:sz w:val="22"/>
          <w:szCs w:val="22"/>
        </w:rPr>
        <w:t xml:space="preserve">u</w:t>
      </w:r>
      <w:r>
        <w:rPr>
          <w:rFonts w:ascii="Arial" w:cs="Arial" w:eastAsia="Arial" w:hAnsi="Arial"/>
          <w:sz w:val="22"/>
          <w:szCs w:val="22"/>
        </w:rPr>
        <w:t xml:space="preserve">r Wiederaufbau)</w:t>
      </w:r>
    </w:p>
    <w:p>
      <w:pPr>
        <w:tabs>
          <w:tab w:val="right" w:pos="10178"/>
        </w:tabs>
        <w:spacing w:after="120"/>
      </w:pPr>
      <w:r>
        <w:rPr>
          <w:rFonts w:ascii="Arial" w:cs="Arial" w:eastAsia="Arial" w:hAnsi="Arial"/>
          <w:b/>
          <w:bCs/>
          <w:sz w:val="22"/>
          <w:szCs w:val="22"/>
        </w:rPr>
        <w:t xml:space="preserve">ГЦБ</w:t>
      </w:r>
      <w:r>
        <w:rPr>
          <w:rFonts w:ascii="Arial" w:cs="Arial" w:eastAsia="Arial" w:hAnsi="Arial"/>
          <w:sz w:val="24"/>
          <w:szCs w:val="24"/>
        </w:rPr>
        <w:t xml:space="preserve">	</w:t>
      </w:r>
      <w:r>
        <w:rPr>
          <w:rFonts w:ascii="Arial" w:cs="Arial" w:eastAsia="Arial" w:hAnsi="Arial"/>
          <w:sz w:val="22"/>
          <w:szCs w:val="22"/>
        </w:rPr>
        <w:t xml:space="preserve">государственные ценные бумаги</w:t>
      </w:r>
    </w:p>
    <w:p>
      <w:pPr>
        <w:tabs>
          <w:tab w:val="right" w:pos="10178"/>
        </w:tabs>
        <w:spacing w:after="120"/>
      </w:pPr>
      <w:r>
        <w:rPr>
          <w:rFonts w:ascii="Arial" w:cs="Arial" w:eastAsia="Arial" w:hAnsi="Arial"/>
          <w:b/>
          <w:bCs/>
          <w:sz w:val="22"/>
          <w:szCs w:val="22"/>
        </w:rPr>
        <w:t xml:space="preserve">ГДЦБ</w:t>
      </w:r>
      <w:r>
        <w:rPr>
          <w:rFonts w:ascii="Arial" w:cs="Arial" w:eastAsia="Arial" w:hAnsi="Arial"/>
          <w:sz w:val="24"/>
          <w:szCs w:val="24"/>
        </w:rPr>
        <w:t xml:space="preserve">	</w:t>
      </w:r>
      <w:r>
        <w:rPr>
          <w:rFonts w:ascii="Arial" w:cs="Arial" w:eastAsia="Arial" w:hAnsi="Arial"/>
          <w:sz w:val="22"/>
          <w:szCs w:val="22"/>
        </w:rPr>
        <w:t xml:space="preserve">государственные долгосрочные ценные бумаги</w:t>
      </w:r>
    </w:p>
    <w:p>
      <w:pPr>
        <w:tabs>
          <w:tab w:val="right" w:pos="10178"/>
        </w:tabs>
        <w:spacing w:after="120"/>
      </w:pPr>
      <w:r>
        <w:rPr>
          <w:rFonts w:ascii="Arial" w:cs="Arial" w:eastAsia="Arial" w:hAnsi="Arial"/>
          <w:b/>
          <w:bCs/>
          <w:sz w:val="22"/>
          <w:szCs w:val="22"/>
        </w:rPr>
        <w:t xml:space="preserve">ГКО</w:t>
      </w:r>
      <w:r>
        <w:rPr>
          <w:rFonts w:ascii="Arial" w:cs="Arial" w:eastAsia="Arial" w:hAnsi="Arial"/>
          <w:sz w:val="24"/>
          <w:szCs w:val="24"/>
        </w:rPr>
        <w:t xml:space="preserve">	</w:t>
      </w:r>
      <w:r>
        <w:rPr>
          <w:rFonts w:ascii="Arial" w:cs="Arial" w:eastAsia="Arial" w:hAnsi="Arial"/>
          <w:sz w:val="22"/>
          <w:szCs w:val="22"/>
        </w:rPr>
        <w:t xml:space="preserve">государственные казначейские облигации</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МФКР</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ГИ</w:t>
      </w:r>
      <w:r>
        <w:rPr>
          <w:rFonts w:ascii="Arial" w:cs="Arial" w:eastAsia="Arial" w:hAnsi="Arial"/>
          <w:sz w:val="24"/>
          <w:szCs w:val="24"/>
        </w:rPr>
        <w:t xml:space="preserve">	</w:t>
      </w:r>
      <w:r>
        <w:rPr>
          <w:rFonts w:ascii="Arial" w:cs="Arial" w:eastAsia="Arial" w:hAnsi="Arial"/>
          <w:sz w:val="22"/>
          <w:szCs w:val="22"/>
        </w:rPr>
        <w:t xml:space="preserve">государственные инвестиции</w:t>
      </w:r>
    </w:p>
    <w:p>
      <w:pPr>
        <w:tabs>
          <w:tab w:val="right" w:pos="10178"/>
        </w:tabs>
        <w:spacing w:after="120"/>
      </w:pPr>
      <w:r>
        <w:rPr>
          <w:rFonts w:ascii="Arial" w:cs="Arial" w:eastAsia="Arial" w:hAnsi="Arial"/>
          <w:b/>
          <w:bCs/>
          <w:sz w:val="22"/>
          <w:szCs w:val="22"/>
        </w:rPr>
        <w:t xml:space="preserve">ТОП</w:t>
      </w:r>
      <w:r>
        <w:rPr>
          <w:rFonts w:ascii="Arial" w:cs="Arial" w:eastAsia="Arial" w:hAnsi="Arial"/>
          <w:sz w:val="24"/>
          <w:szCs w:val="24"/>
        </w:rPr>
        <w:t xml:space="preserve">	</w:t>
      </w:r>
      <w:r>
        <w:rPr>
          <w:rFonts w:ascii="Arial" w:cs="Arial" w:eastAsia="Arial" w:hAnsi="Arial"/>
          <w:sz w:val="22"/>
          <w:szCs w:val="22"/>
        </w:rPr>
        <w:t xml:space="preserve">технический обслуживающий персонал</w:t>
      </w:r>
    </w:p>
    <w:p>
      <w:pPr>
        <w:tabs>
          <w:tab w:val="right" w:pos="10178"/>
        </w:tabs>
        <w:spacing w:after="120"/>
      </w:pPr>
      <w:r>
        <w:rPr>
          <w:rFonts w:ascii="Arial" w:cs="Arial" w:eastAsia="Arial" w:hAnsi="Arial"/>
          <w:b/>
          <w:bCs/>
          <w:sz w:val="22"/>
          <w:szCs w:val="22"/>
        </w:rPr>
        <w:t xml:space="preserve">МОП</w:t>
      </w:r>
      <w:r>
        <w:rPr>
          <w:rFonts w:ascii="Arial" w:cs="Arial" w:eastAsia="Arial" w:hAnsi="Arial"/>
          <w:sz w:val="24"/>
          <w:szCs w:val="24"/>
        </w:rPr>
        <w:t xml:space="preserve">	</w:t>
      </w:r>
      <w:r>
        <w:rPr>
          <w:rFonts w:ascii="Arial" w:cs="Arial" w:eastAsia="Arial" w:hAnsi="Arial"/>
          <w:sz w:val="22"/>
          <w:szCs w:val="22"/>
        </w:rPr>
        <w:t xml:space="preserve">младший обслуживающий персонал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(2)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(3) Средневзвешенная годовая доходность рассчитана по формуле: </w:t>
      </w:r>
    </w:p>
    <w:p>
      <w:pPr>
        <w:spacing w:after="60"/>
        <w:ind w:firstLine="567"/>
        <w:jc w:val="both"/>
      </w:pPr>
      <w:r>
        <w:rPr>
          <w:rFonts w:ascii="Arial" w:cs="Arial" w:eastAsia="Arial" w:hAnsi="Arial"/>
          <w:sz w:val="22"/>
          <w:szCs w:val="22"/>
        </w:rPr>
        <w:t xml:space="preserve">(4) Государственные казначейские облигации со сроком обращения свыше 1 года.</w:t>
      </w:r>
    </w:p>
    <w:p>
      <w:pPr>
        <w:spacing w:after="60"/>
        <w:ind w:firstLine="567"/>
        <w:jc w:val="both"/>
      </w:pPr>
      <w:r>
        <w:rPr>
          <w:rFonts w:ascii="Arial" w:cs="Arial" w:eastAsia="Arial" w:hAnsi="Arial"/>
          <w:sz w:val="22"/>
          <w:szCs w:val="22"/>
        </w:rPr>
        <w:t xml:space="preserve">(5) ИБР - Исламский Банк развития.</w:t>
      </w:r>
    </w:p>
    <w:p>
      <w:pPr>
        <w:spacing w:after="60"/>
        <w:ind w:firstLine="567"/>
        <w:jc w:val="both"/>
      </w:pPr>
      <w:r>
        <w:rPr>
          <w:rFonts w:ascii="Arial" w:cs="Arial" w:eastAsia="Arial" w:hAnsi="Arial"/>
          <w:sz w:val="22"/>
          <w:szCs w:val="22"/>
        </w:rPr>
        <w:t xml:space="preserve">(6) СФР - Саудовский фонд развития.</w:t>
      </w:r>
    </w:p>
    <w:p>
      <w:pPr>
        <w:spacing w:after="60"/>
        <w:ind w:firstLine="567"/>
        <w:jc w:val="both"/>
      </w:pPr>
      <w:r>
        <w:rPr>
          <w:rFonts w:ascii="Arial" w:cs="Arial" w:eastAsia="Arial" w:hAnsi="Arial"/>
          <w:sz w:val="22"/>
          <w:szCs w:val="22"/>
        </w:rPr>
        <w:t xml:space="preserve">(7) ЦАРЭС - Центральноазиатское региональное экономическое сотрудничество.</w:t>
      </w:r>
    </w:p>
    <w:p>
      <w:pPr>
        <w:spacing w:after="60"/>
        <w:ind w:firstLine="567"/>
        <w:jc w:val="both"/>
      </w:pPr>
      <w:r>
        <w:rPr>
          <w:rFonts w:ascii="Arial" w:cs="Arial" w:eastAsia="Arial" w:hAnsi="Arial"/>
          <w:sz w:val="22"/>
          <w:szCs w:val="22"/>
        </w:rPr>
        <w:t xml:space="preserve">(8) JICA - Японское Агентство международного сотрудничества.</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9</w:t>
      </w:r>
      <w:r>
        <w:rPr>
          <w:rFonts w:ascii="Arial" w:cs="Arial" w:eastAsia="Arial" w:hAnsi="Arial"/>
          <w:sz w:val="22"/>
          <w:szCs w:val="22"/>
        </w:rPr>
        <w:t xml:space="preserve">) </w:t>
      </w:r>
      <w:r>
        <w:rPr>
          <w:rFonts w:ascii="Arial" w:cs="Arial" w:eastAsia="Arial" w:hAnsi="Arial"/>
          <w:sz w:val="22"/>
          <w:szCs w:val="22"/>
        </w:rPr>
        <w:t xml:space="preserve">ЕИБ - Европейский инвестиционный банк</w:t>
      </w: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120" w:before="200"/>
        <w:ind w:firstLine="567"/>
        <w:jc w:val="both"/>
      </w:pPr>
      <w:r>
        <w:rPr>
          <w:rFonts w:ascii="Arial" w:cs="Arial" w:eastAsia="Arial" w:hAnsi="Arial"/>
          <w:b/>
          <w:bCs/>
          <w:sz w:val="22"/>
          <w:szCs w:val="22"/>
        </w:rPr>
        <w:t xml:space="preserve">Таблица 1. Структура ресурсов сектора государственного управления</w:t>
      </w:r>
    </w:p>
    <w:p>
      <w:pPr>
        <w:spacing w:after="60"/>
        <w:ind w:firstLine="567"/>
        <w:jc w:val="right"/>
      </w:pPr>
      <w:r>
        <w:rPr>
          <w:rFonts w:ascii="Arial" w:cs="Arial" w:eastAsia="Arial" w:hAnsi="Arial"/>
          <w:sz w:val="22"/>
          <w:szCs w:val="2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6"/>
        <w:gridCol w:w="1176"/>
        <w:gridCol w:w="1115"/>
        <w:gridCol w:w="1085"/>
        <w:gridCol w:w="1042"/>
        <w:gridCol w:w="1042"/>
        <w:gridCol w:w="1042"/>
      </w:tblGrid>
      <w:tr>
        <w:tc>
          <w:tcPr>
            <w:tcW w:type="dxa" w:w="3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предв. факт</w:t>
            </w:r>
          </w:p>
        </w:tc>
        <w:tc>
          <w:tcPr>
            <w:tcW w:type="dxa" w:w="1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утвержд.</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уточнен</w:t>
            </w:r>
            <w:r>
              <w:rPr>
                <w:rFonts w:ascii="Arial" w:cs="Arial" w:eastAsia="Arial" w:hAnsi="Arial"/>
                <w:b/>
                <w:bCs/>
                <w:sz w:val="22"/>
                <w:szCs w:val="22"/>
              </w:rPr>
              <w:t xml:space="preserve">.</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прогноз</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прогноз</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СТРУКТУРА РЕСУРСОВ СЕКТОРА ГОСУДАРСТВЕННОГО УПРАВЛЕНИЯ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Общая сумма доходов и грантов госбюджета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167328,6</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183708,1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153882,0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182629,9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191526,1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193094,0</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госбюджета (включая спецсредства)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Гранты(1)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Социального фонда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53843,0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57892,1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57893,1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59624,0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62110,5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64356,3</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Доходы Фонда обязательного медицинского страхования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14169,0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15819,8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15819,8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15354,2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15658,9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15934,8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 дефицита 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431,7</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7953,5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27692,3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7038,8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4401,3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1910,9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внутренние источники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3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источники</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2941,0</w:t>
            </w:r>
          </w:p>
        </w:tc>
        <w:tc>
          <w:tcPr>
            <w:tcW w:type="dxa" w:w="11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38481,9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5638,6</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3195,9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-3639,6</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СТРУКТУРА ОБЩЕЙ СУММЫ РАСХОДОВ</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Социального фонда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53506,3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57105,0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57105,0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62106,5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65731,7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69496,1</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Фонда обязательного медицинского страхования</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14641,8</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16009,8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16009,8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15354,2</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15658,9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15934,8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государственного бюджета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167760,3</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191661,6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181574,3</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189668,7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195927,4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195004,9</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Обслуживание долга(2)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8048,2</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8979,5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9528,0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10290,8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10925,4</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Инвестиции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31642,4</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33698,0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27572,9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33798,5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35819,9</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33444,5</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13 072,9</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16986,3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14350,5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19364,0</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20934,8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18637,2</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Внутренние(3)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18569,5</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16711,7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13222,4</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14434,6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14885,1</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14807,3</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софинансирование ПГИ</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918,6</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1390,5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1820,7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1905,8</w:t>
            </w:r>
          </w:p>
        </w:tc>
      </w:tr>
      <w:tr>
        <w:tc>
          <w:tcPr>
            <w:tcW w:type="dxa" w:w="367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111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1042"/>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3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Дискреционные текущие расходы госбюджета(4)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117185,6</w:t>
            </w:r>
          </w:p>
        </w:tc>
        <w:tc>
          <w:tcPr>
            <w:tcW w:type="dxa" w:w="11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137606,3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132984,4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133765,4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137177,1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138106,9</w:t>
            </w:r>
          </w:p>
        </w:tc>
      </w:tr>
    </w:tbl>
    <w:p>
      <w:pPr>
        <w:spacing w:after="60" w:before="120"/>
        <w:ind w:firstLine="567"/>
        <w:jc w:val="both"/>
      </w:pPr>
      <w:r>
        <w:rPr>
          <w:rFonts w:ascii="Arial" w:cs="Arial" w:eastAsia="Arial" w:hAnsi="Arial"/>
          <w:sz w:val="22"/>
          <w:szCs w:val="22"/>
        </w:rPr>
        <w:t xml:space="preserve">Примечание: 1. Включает внешние гранты на ГИ.</w:t>
      </w:r>
    </w:p>
    <w:p>
      <w:pPr>
        <w:spacing w:after="60"/>
        <w:ind w:firstLine="567"/>
        <w:jc w:val="both"/>
      </w:pPr>
      <w:r>
        <w:rPr>
          <w:rFonts w:ascii="Arial" w:cs="Arial" w:eastAsia="Arial" w:hAnsi="Arial"/>
          <w:sz w:val="22"/>
          <w:szCs w:val="22"/>
        </w:rPr>
        <w:t xml:space="preserve">2. По внутреннему и внешнему долгу.</w:t>
      </w:r>
    </w:p>
    <w:p>
      <w:pPr>
        <w:spacing w:after="60"/>
        <w:ind w:firstLine="567"/>
        <w:jc w:val="both"/>
      </w:pPr>
      <w:r>
        <w:rPr>
          <w:rFonts w:ascii="Arial" w:cs="Arial" w:eastAsia="Arial" w:hAnsi="Arial"/>
          <w:sz w:val="22"/>
          <w:szCs w:val="22"/>
        </w:rPr>
        <w:t xml:space="preserve">3. Включает внутреннее софинансирование.</w:t>
      </w:r>
    </w:p>
    <w:p>
      <w:pPr>
        <w:spacing w:after="60"/>
        <w:ind w:firstLine="567"/>
        <w:jc w:val="both"/>
      </w:pPr>
      <w:r>
        <w:rPr>
          <w:rFonts w:ascii="Arial" w:cs="Arial" w:eastAsia="Arial" w:hAnsi="Arial"/>
          <w:sz w:val="22"/>
          <w:szCs w:val="22"/>
        </w:rPr>
        <w:t xml:space="preserve">4. За исключением спецсредств.</w:t>
      </w:r>
    </w:p>
    <w:p>
      <w:pPr>
        <w:spacing w:after="120" w:before="200"/>
        <w:ind w:firstLine="567"/>
        <w:jc w:val="both"/>
      </w:pPr>
      <w:r>
        <w:rPr>
          <w:rFonts w:ascii="Arial" w:cs="Arial" w:eastAsia="Arial" w:hAnsi="Arial"/>
          <w:b/>
          <w:bCs/>
          <w:sz w:val="22"/>
          <w:szCs w:val="22"/>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4"/>
        <w:gridCol w:w="1270"/>
        <w:gridCol w:w="973"/>
        <w:gridCol w:w="973"/>
        <w:gridCol w:w="973"/>
        <w:gridCol w:w="973"/>
        <w:gridCol w:w="973"/>
      </w:tblGrid>
      <w:tr>
        <w:tc>
          <w:tcPr>
            <w:tcW w:type="dxa" w:w="40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Номинальный ВВП (млн. сом)</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590042,4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667062,0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583161,9</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635040,7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692363,1</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722982,9</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Реальный темп роста (%)</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105,0</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105,6</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101,6</w:t>
            </w:r>
          </w:p>
        </w:tc>
      </w:tr>
      <w:tr>
        <w:tc>
          <w:tcPr>
            <w:tcW w:type="dxa" w:w="40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Дефлятор ВВП (%)</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99,2</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104,4</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103,7</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103,2</w:t>
            </w:r>
          </w:p>
        </w:tc>
        <w:tc>
          <w:tcPr>
            <w:tcW w:type="dxa" w:w="97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r>
      <w:tr>
        <w:tc>
          <w:tcPr>
            <w:tcW w:type="dxa" w:w="4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Инфляция (ИПЦ к декабрю пред. года) (%)</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bl>
    <w:p>
      <w:pPr>
        <w:spacing w:after="120" w:before="200"/>
        <w:ind w:firstLine="567"/>
        <w:jc w:val="both"/>
      </w:pPr>
      <w:r>
        <w:rPr>
          <w:rFonts w:ascii="Arial" w:cs="Arial" w:eastAsia="Arial" w:hAnsi="Arial"/>
          <w:b/>
          <w:bCs/>
          <w:sz w:val="22"/>
          <w:szCs w:val="22"/>
        </w:rPr>
        <w:t xml:space="preserve">Таблица 3. Сводные данные по доходам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9"/>
        <w:gridCol w:w="1323"/>
        <w:gridCol w:w="957"/>
        <w:gridCol w:w="989"/>
        <w:gridCol w:w="957"/>
        <w:gridCol w:w="957"/>
        <w:gridCol w:w="957"/>
      </w:tblGrid>
      <w:tr>
        <w:tc>
          <w:tcPr>
            <w:tcW w:type="dxa" w:w="4039"/>
            <w:vMerge w:val="restart"/>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2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8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5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039"/>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(млн. сом)</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167328,6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183708,1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153882,0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182629,9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191526,1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193094,0</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100,8</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113,1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102,4</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поступлении</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121525,5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144755,0</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112021,3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142234,6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153258,7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157753,4</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32314,3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29270,3</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29086,3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27281,8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28077,3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27973,7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90,6</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93,8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99,6</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10884,0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11935,5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12037,5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12576,8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12639,7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12528,1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21430,3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17334,8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17048,9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14705,1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15437,7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15445,6</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146,4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71,8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72,3</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6862,8</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9245,3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6915,9</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 ВВП)</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22,4</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21,8</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r>
      <w:tr>
        <w:tc>
          <w:tcPr>
            <w:tcW w:type="dxa" w:w="4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8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5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before="200"/>
        <w:ind w:firstLine="567"/>
        <w:jc w:val="both"/>
      </w:pPr>
      <w:r>
        <w:rPr>
          <w:rFonts w:ascii="Arial" w:cs="Arial" w:eastAsia="Arial" w:hAnsi="Arial"/>
          <w:b/>
          <w:bCs/>
          <w:sz w:val="22"/>
          <w:szCs w:val="22"/>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2"/>
        <w:gridCol w:w="1309"/>
        <w:gridCol w:w="847"/>
        <w:gridCol w:w="979"/>
        <w:gridCol w:w="914"/>
        <w:gridCol w:w="914"/>
        <w:gridCol w:w="914"/>
      </w:tblGrid>
      <w:tr>
        <w:tc>
          <w:tcPr>
            <w:tcW w:type="dxa" w:w="430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1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none" w:color="auto" w:sz="0"/>
              <w:right w:val="single" w:color="CBBF9E" w:sz="4"/>
            </w:tcBorders>
          </w:tcP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предв. факт</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утв.</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уточнен.</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02"/>
            <w:tcBorders>
              <w:top w:val="none" w:color="auto" w:sz="0"/>
              <w:left w:val="single" w:color="CBBF9E" w:sz="4"/>
              <w:bottom w:val="none" w:color="auto" w:sz="0"/>
              <w:right w:val="single" w:color="CBBF9E" w:sz="4"/>
            </w:tcBorders>
            <w:vAlign w:val="top"/>
          </w:tcPr>
          <w:p>
            <w:pPr>
              <w:jc w:val="right"/>
            </w:pPr>
            <w:r>
              <w:rPr>
                <w:rFonts w:ascii="Arial" w:cs="Arial" w:eastAsia="Arial" w:hAnsi="Arial"/>
                <w:sz w:val="22"/>
                <w:szCs w:val="22"/>
              </w:rPr>
              <w:t xml:space="preserve">(млн. сом)</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7765,9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11668,3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-251,0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12224,2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9767,5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15697,9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60,9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150,3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14892,4</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15400,0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-3776,9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1573,5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4880,9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861,7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5645,9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-3249,7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-5305,2</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-20531,9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-7275,8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-6994,2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-5848,0</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выдача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6700,9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8058,6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22905,8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10755,5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10496,8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9792,7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3451,2</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2753,3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2373,9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3479,8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3502,6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3944,8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10275,1</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8562,3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10538,7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10824,0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8562,1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10147,5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123,1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2941,0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4847,5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38481,9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5638,6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3195,9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-3639,6</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(ГИ)</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13072,9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16682,0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51594,5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20636,5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21789,8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21189,2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129,5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309,3</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123,7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10131,9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11834,6</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14997,9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18593,9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24828,7</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предыдущему году</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122,9</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126,7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133,5</w:t>
            </w:r>
          </w:p>
        </w:tc>
      </w:tr>
      <w:tr>
        <w:tc>
          <w:tcPr>
            <w:tcW w:type="dxa" w:w="4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Дефицит</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27692,3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7038,8</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4401,3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1910,9</w:t>
            </w:r>
          </w:p>
        </w:tc>
      </w:tr>
      <w:tr>
        <w:tc>
          <w:tcPr>
            <w:tcW w:type="dxa" w:w="430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 к ВВП)</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(ПГИ)(*)</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8,8</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w:t>
            </w:r>
          </w:p>
        </w:tc>
      </w:tr>
      <w:tr>
        <w:tc>
          <w:tcPr>
            <w:tcW w:type="dxa" w:w="4302"/>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3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8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9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r>
      <w:tr>
        <w:tc>
          <w:tcPr>
            <w:tcW w:type="dxa" w:w="4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bl>
    <w:p>
      <w:pPr>
        <w:spacing w:after="120" w:before="200"/>
        <w:ind w:firstLine="567"/>
        <w:jc w:val="both"/>
      </w:pPr>
      <w:r>
        <w:rPr>
          <w:rFonts w:ascii="Arial" w:cs="Arial" w:eastAsia="Arial" w:hAnsi="Arial"/>
          <w:b/>
          <w:bCs/>
          <w:sz w:val="22"/>
          <w:szCs w:val="22"/>
        </w:rPr>
        <w:t xml:space="preserve">Таблица 5. Ресурсы и расходы государственного бюджета</w:t>
      </w:r>
    </w:p>
    <w:p>
      <w:pPr>
        <w:spacing w:after="60"/>
        <w:ind w:firstLine="567"/>
        <w:jc w:val="right"/>
      </w:pPr>
      <w:r>
        <w:rPr>
          <w:rFonts w:ascii="Arial" w:cs="Arial" w:eastAsia="Arial" w:hAnsi="Arial"/>
          <w:sz w:val="22"/>
          <w:szCs w:val="2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8"/>
        <w:gridCol w:w="1128"/>
        <w:gridCol w:w="963"/>
        <w:gridCol w:w="930"/>
        <w:gridCol w:w="900"/>
        <w:gridCol w:w="900"/>
        <w:gridCol w:w="900"/>
      </w:tblGrid>
      <w:tr>
        <w:tc>
          <w:tcPr>
            <w:tcW w:type="dxa" w:w="44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2019</w:t>
            </w:r>
          </w:p>
        </w:tc>
        <w:tc>
          <w:tcPr>
            <w:tcW w:type="dxa" w:w="96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3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2020</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2021</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2022</w:t>
            </w:r>
          </w:p>
        </w:tc>
        <w:tc>
          <w:tcPr>
            <w:tcW w:type="dxa" w:w="90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2023</w:t>
            </w:r>
          </w:p>
        </w:tc>
      </w:tr>
      <w:tr>
        <w:tc>
          <w:tcPr>
            <w:vMerge w:val="continue"/>
            <w:tcBorders>
              <w:top w:val="single" w:color="CBBF9E" w:sz="4"/>
              <w:left w:val="single" w:color="CBBF9E" w:sz="4"/>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утвержд.</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уточнен.</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167760,3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191677,8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181591,9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189687,7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195946,4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114,3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доходы и полученные офиц.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167328,6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183708,1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153882,0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182629,9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191526,1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193094,0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83,8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153839,8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174025,3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141107,6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169516,5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181336,1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185727,1</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121525,5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144755,0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112021,3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142234,6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153258,7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157753,4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32314,3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29270,3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29086,3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27281,8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28077,3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27973,7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 вкл. ГИ</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13488,7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9682,8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12774,4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13113,4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10190,0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7366,9</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Нефинансовые активы</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Требуемое финансирование дефицита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431,7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7953,5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27692,3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7038,8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4401,3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Источники финансирования: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7953,5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27692,3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7038,8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4401,3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внутреннее 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3106,1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-10789,7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1205,4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5550,5</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38481,9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5638,6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3195,9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-3639,6</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Ресурсы госбюджета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167760,3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191677,8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181591,9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189687,7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195946,4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расходы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167760,3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191677,8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181591,9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189687,7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195946,4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195023,9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114,3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136117,9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157979,8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154019,0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155889,2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160126,6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161579,4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101,2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31642,4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33698,0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27572,9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33798,5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35819,9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33444,5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122,6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93,4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 финансирования (с учетом грантов)</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13072,9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16986,3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14350,5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19364,0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20934,8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18637,2</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софинансирование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1413,0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918,6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1390,5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1820,7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1905,8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18569,5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16711,7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13222,4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14434,6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14885,1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14807,3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 к пред. году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79,1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99,5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5527,4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2411,5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3000,0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8048,2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8421,9</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8979,5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9528,0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10925,4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4285,7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4808,0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5133,9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5144,2</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3762,4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4093,2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4527,3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5781,2</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Расходы по специальным средствам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10884,0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11935,5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12037,5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12576,8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12639,7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12528,1</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Дискреционные текущие расходы государственного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117185,6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137622,4</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133002,1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133784,4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137196,1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138125,9</w:t>
            </w:r>
          </w:p>
        </w:tc>
      </w:tr>
      <w:tr>
        <w:tc>
          <w:tcPr>
            <w:tcW w:type="dxa" w:w="445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 ВПП)</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31,1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доходы и полученные офиц.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28,8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1,0о</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Ресурсы госбюджета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расходы государственного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29,9</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5,1</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4,6</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 финансирования (с учетом грантов)</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внутреннее софинансирование</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r>
      <w:tr>
        <w:tc>
          <w:tcPr>
            <w:tcW w:type="dxa" w:w="44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Расходы по специальным средствам</w:t>
            </w:r>
          </w:p>
        </w:tc>
        <w:tc>
          <w:tcPr>
            <w:tcW w:type="dxa" w:w="112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3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2,1</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2,0</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1,8</w:t>
            </w:r>
          </w:p>
        </w:tc>
        <w:tc>
          <w:tcPr>
            <w:tcW w:type="dxa" w:w="90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1,7</w:t>
            </w:r>
          </w:p>
        </w:tc>
      </w:tr>
      <w:tr>
        <w:tc>
          <w:tcPr>
            <w:tcW w:type="dxa" w:w="44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Дискреционные текущие расходы государственного бюджета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22,8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21,1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19,1</w:t>
            </w:r>
          </w:p>
        </w:tc>
      </w:tr>
    </w:tbl>
    <w:p>
      <w:pPr>
        <w:spacing w:after="120" w:before="200"/>
        <w:ind w:firstLine="567"/>
        <w:jc w:val="both"/>
      </w:pPr>
      <w:r>
        <w:rPr>
          <w:rFonts w:ascii="Arial" w:cs="Arial" w:eastAsia="Arial" w:hAnsi="Arial"/>
          <w:b/>
          <w:bCs/>
          <w:sz w:val="22"/>
          <w:szCs w:val="22"/>
        </w:rPr>
        <w:t xml:space="preserve">Таблица 6. Контрольные цифры по министерствам, ведомствам на 2021-2023 годы</w:t>
      </w:r>
    </w:p>
    <w:p>
      <w:pPr>
        <w:spacing w:after="60"/>
        <w:ind w:firstLine="567"/>
        <w:jc w:val="right"/>
      </w:pPr>
      <w:r>
        <w:rPr>
          <w:rFonts w:ascii="Arial" w:cs="Arial" w:eastAsia="Arial" w:hAnsi="Arial"/>
          <w:sz w:val="22"/>
          <w:szCs w:val="22"/>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3276"/>
        <w:gridCol w:w="1106"/>
        <w:gridCol w:w="1087"/>
        <w:gridCol w:w="674"/>
        <w:gridCol w:w="1087"/>
        <w:gridCol w:w="674"/>
        <w:gridCol w:w="1087"/>
        <w:gridCol w:w="674"/>
      </w:tblGrid>
      <w:tr>
        <w:tc>
          <w:tcPr>
            <w:tcW w:type="dxa" w:w="5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3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Закон. уточ.</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2020</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2021</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прогноз</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к 2022</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Жогорку Кенеш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707025,3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707025,3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719983,8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726566,1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Президента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140046,8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140046,8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142153,1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 Президента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Правительств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197705,1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 Президента и Правительства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498040,7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498040,7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507573,4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512415,5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Верховный суд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1740816,6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1740816,6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1774136,5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1791061,2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Счетная палата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240847,1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240847,1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245457,0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247798,6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Центральная комиссия по выборам и проведению референдумов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828448,0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688848,0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702032,8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Генеральная прокуратура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596833,0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596833,0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608256,6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614059,2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Военная прокуратура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32827,6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32827,6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33455,9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33775,1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Омбудсмена (Акыйкатчы)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47021,7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47021,7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47921,7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48378,9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юстиции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290077,8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290077,8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295630,0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298450,2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иностранных дел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1223743,3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1151206,3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1173240,8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1184433,2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Резервные и другие фонды территорий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1330028,7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1330028,7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1355485,9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1368416,9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548481,5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548481,5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558979,6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564312,2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 (государственные программы, мероприятия и выплаты)</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62968219,5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59438917,3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61022153,3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61217361,0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экономики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226754,8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220754,8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224980,1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227126,4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земельным ресурсам</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157263,6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160273,7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161802,7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исполнения наказаний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1351115,5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1364004,7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образования и науки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28501473,1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28491473,1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29036810,3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29313813,6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интеллектуальной собственности и инноваций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54308,1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54308,1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55347,6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55875,6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здравоохранения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2741079,5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2473656,7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2521003,4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2545053,1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труда и социального развития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10882197,7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10833661,8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11041022,6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11146351,0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Академия государственного управления при Президенте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14363,6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14638,5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14778,2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сельского хозяйства, мелиорации и пищевой промышленности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374844,8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364844,8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371828,1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375375,2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водных ресурсов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1100398,3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1100398,3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1121460,3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1132158,8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транспорта и дорог</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945552,0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944557,5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962636,7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971820,0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культуры, информации и туризма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2026505,6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1986505,6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2024528,0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2043841,5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чрезвычайных ситуаций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2087061,2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1918585,9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1955308,3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1973961,4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Центрально-Азиатский институт прикладных исследований Земли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14355,5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14355,5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14630,3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14769,8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налоговая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1377711,3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1325749,5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1351084,1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1363973,0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таможенная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695608,3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695608,3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708732,1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715493,2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Центральное правление "Кыргызского общества слепых и глухих"</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40461,2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комиссия по государственному языку при Президенте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14371,5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местного самоуправления и межэтнических отношений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28539,9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28539,9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охраны окружающей среды и лесного хозяйства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526740,3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526740,3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536822,3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541943,4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регистрационная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406771,8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406771,8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414557,6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418512,3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экологической и технической безопасности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229385,4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229385,4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236006,1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промышленности, энергетики и недропользования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1303351,4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1303351,4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1328298,0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1340969,6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молодежи, физической культуры 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786665,1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786665,1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801722,2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809370,4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Агентство по продвижению и защите инвестиций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16400,4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16873,8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регулирования и надзора за финансовым рынком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22580,8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23232,5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кадровая служба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58331,1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59447,6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60014,7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архитектуры, строительства и жилищно-коммунального хозяйства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21459,2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21459,2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22078,6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по борьбе с экономическими преступлениями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131253,6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131253,6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133765,8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135041,9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ветеринарной и фитосанитарной безопасности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503688,5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500608,5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510190,3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515057,4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информационных технологий и связи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520856,3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157905,7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160928,1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комиссия по делам религий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21424,8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22043,2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 судебного представительства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168439,3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168439,3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173300,9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Национальной комиссии КР по делам ЮНЕСКО</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2937,0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институт стратегических исследований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14390,1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14390,1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финансовой разведки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36084,0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36084,0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36774,7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антимонопольного регулирования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61316,7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61316,7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63086,5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миграции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90841,2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90841,2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92579,9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93463,1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статистический комитет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684178,2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338796,4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345281,1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348575,0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Фонд по управлению государственным имуществом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55387,7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48387,7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49313,9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49784,3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Фонд государственных материальных резервов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839328,8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295870,7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298693,2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Высшая аттестационная комиссия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7972,7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Совета безопасности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наук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342925,3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349489,0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352823,0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Клиническая больница УД Президента и Правительства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149606,0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149606,0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152469,5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153924,0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11686,9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11910,6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12024,2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регулированию топливно-энергетического комплекса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17664,4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17664,4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18174,2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Редакции журналов и газет</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Телерадиовещательные компании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511682,1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511682,1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521475,9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526450,6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судебно-экспертная служба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55361,1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55361,1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56420,7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56959,0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учреждение "Кыргызтест"</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12474,4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12593,4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"Манас" и Чингиза Айтматова</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20129,1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20514,4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20710,1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(трансферты Соцфонду 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22007980,1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22007980,1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22378957,7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22378957,7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(трансферты ФОМСу при ПКР)</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11470697,1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11191341,7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11415118,0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11415118,0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120" w:before="200"/>
        <w:ind w:firstLine="567"/>
        <w:jc w:val="both"/>
      </w:pPr>
      <w:r>
        <w:rPr>
          <w:rFonts w:ascii="Arial" w:cs="Arial" w:eastAsia="Arial" w:hAnsi="Arial"/>
          <w:b/>
          <w:bCs/>
          <w:sz w:val="22"/>
          <w:szCs w:val="22"/>
        </w:rPr>
        <w:t xml:space="preserve">Таблица 7.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4"/>
        <w:gridCol w:w="1187"/>
        <w:gridCol w:w="1187"/>
        <w:gridCol w:w="1187"/>
        <w:gridCol w:w="1187"/>
        <w:gridCol w:w="1179"/>
        <w:gridCol w:w="1179"/>
      </w:tblGrid>
      <w:tr>
        <w:tc>
          <w:tcPr>
            <w:tcW w:type="dxa" w:w="3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3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0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Номинальный ВВП (млн. сом)</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667078,8</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736239,3</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667062,0</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708363,8</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100,0</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96,2</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4.2</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113,6</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81,0</w:t>
            </w:r>
          </w:p>
        </w:tc>
      </w:tr>
      <w:tr>
        <w:tc>
          <w:tcPr>
            <w:tcW w:type="dxa" w:w="30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Дефлятор ВВП (%)</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5,8</w:t>
            </w:r>
          </w:p>
        </w:tc>
        <w:tc>
          <w:tcPr>
            <w:tcW w:type="dxa" w:w="118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103,6</w:t>
            </w:r>
          </w:p>
        </w:tc>
        <w:tc>
          <w:tcPr>
            <w:tcW w:type="dxa" w:w="117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45,8</w:t>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Инфляция (ИПЦ к декабрю пред. года) (%)</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bl>
    <w:p>
      <w:pPr>
        <w:spacing w:after="120" w:before="200"/>
        <w:ind w:firstLine="567"/>
        <w:jc w:val="both"/>
      </w:pPr>
      <w:r>
        <w:rPr>
          <w:rFonts w:ascii="Arial" w:cs="Arial" w:eastAsia="Arial" w:hAnsi="Arial"/>
          <w:b/>
          <w:bCs/>
          <w:sz w:val="22"/>
          <w:szCs w:val="22"/>
        </w:rPr>
        <w:t xml:space="preserve">Таблица 8. Показатели внутренних доходов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1"/>
        <w:gridCol w:w="1177"/>
        <w:gridCol w:w="1177"/>
        <w:gridCol w:w="1176"/>
        <w:gridCol w:w="1176"/>
        <w:gridCol w:w="1176"/>
        <w:gridCol w:w="1176"/>
      </w:tblGrid>
      <w:tr>
        <w:tc>
          <w:tcPr>
            <w:tcW w:type="dxa" w:w="31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 и грантов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105,9</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Всего доходов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24,7</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105,8</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106,6</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120,9</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124,1</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Средства специального счета</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109,4</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 без спецсредств</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136,7</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137,2</w:t>
            </w:r>
          </w:p>
        </w:tc>
      </w:tr>
      <w:tr>
        <w:tc>
          <w:tcPr>
            <w:tcW w:type="dxa" w:w="3121"/>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Официальные трансферты</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w:t>
            </w:r>
          </w:p>
        </w:tc>
        <w:tc>
          <w:tcPr>
            <w:tcW w:type="dxa" w:w="117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гранты ГИ</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w:t>
            </w:r>
          </w:p>
        </w:tc>
      </w:tr>
    </w:tbl>
    <w:p>
      <w:pPr>
        <w:spacing w:after="120" w:before="200"/>
        <w:ind w:firstLine="567"/>
        <w:jc w:val="both"/>
      </w:pPr>
      <w:r>
        <w:rPr>
          <w:rFonts w:ascii="Arial" w:cs="Arial" w:eastAsia="Arial" w:hAnsi="Arial"/>
          <w:b/>
          <w:bCs/>
          <w:sz w:val="22"/>
          <w:szCs w:val="22"/>
        </w:rPr>
        <w:t xml:space="preserve">Таблица 9. Финансирование дефицита бюджета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6"/>
        <w:gridCol w:w="1147"/>
        <w:gridCol w:w="1147"/>
        <w:gridCol w:w="1147"/>
        <w:gridCol w:w="1147"/>
        <w:gridCol w:w="1147"/>
        <w:gridCol w:w="1147"/>
      </w:tblGrid>
      <w:tr>
        <w:tc>
          <w:tcPr>
            <w:tcW w:type="dxa" w:w="32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2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Внутреннее финансирование(1)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-52,5</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62,3</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из внутренних источников</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525,2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Поступление от ГЦБ</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остатки на счетах ПКР</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приватизация</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покупка фин. активов</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бюджетные ссуды</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96,6</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внутреннего долга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Внешнее финансирование</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62,4</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Внешние источники (ГИ)</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82,8</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Поддержка платежного баланса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Погашение основной суммы внешнего долга</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98,2</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103,1</w:t>
            </w:r>
          </w:p>
        </w:tc>
      </w:tr>
      <w:tr>
        <w:tc>
          <w:tcPr>
            <w:tcW w:type="dxa" w:w="329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Потребность в дополнительных ресурсах</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0,0</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ВСЕГО</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110,5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82,8</w:t>
            </w:r>
          </w:p>
        </w:tc>
      </w:tr>
    </w:tbl>
    <w:p>
      <w:pPr>
        <w:spacing w:after="120" w:before="200"/>
        <w:ind w:firstLine="567"/>
        <w:jc w:val="both"/>
      </w:pPr>
      <w:r>
        <w:rPr>
          <w:rFonts w:ascii="Arial" w:cs="Arial" w:eastAsia="Arial" w:hAnsi="Arial"/>
          <w:b/>
          <w:bCs/>
          <w:sz w:val="22"/>
          <w:szCs w:val="22"/>
        </w:rPr>
        <w:t xml:space="preserve">Таблица 10. Консолидированная структура расходов СПБ (сравнительная)</w:t>
      </w:r>
    </w:p>
    <w:p>
      <w:pPr>
        <w:spacing w:after="60"/>
        <w:ind w:firstLine="567"/>
        <w:jc w:val="right"/>
      </w:pPr>
      <w:r>
        <w:rPr>
          <w:rFonts w:ascii="Arial" w:cs="Arial" w:eastAsia="Arial" w:hAnsi="Arial"/>
          <w:sz w:val="22"/>
          <w:szCs w:val="22"/>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3"/>
        <w:gridCol w:w="1094"/>
        <w:gridCol w:w="1094"/>
        <w:gridCol w:w="1094"/>
        <w:gridCol w:w="1094"/>
        <w:gridCol w:w="1094"/>
        <w:gridCol w:w="1094"/>
      </w:tblGrid>
      <w:tr>
        <w:tc>
          <w:tcPr>
            <w:tcW w:type="dxa" w:w="36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2019-2021 гг.</w:t>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ОНФП 2020-2022 гг.</w:t>
            </w:r>
          </w:p>
        </w:tc>
        <w:tc>
          <w:tcPr>
            <w:tcW w:type="dxa" w:w="21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прогноз</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прогноз</w:t>
            </w:r>
          </w:p>
        </w:tc>
      </w:tr>
      <w:tr>
        <w:tc>
          <w:tcPr>
            <w:tcW w:type="dxa" w:w="3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Ресурсы государственного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Общие доходы и полученные офиц. трансферты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доходы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106,6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Налоговые поступления</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Неналоговые поступления</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120,9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124,1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Полученные официальные трансферты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91,9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Финансирование</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82,8</w:t>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Ресурсы госбюджета</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2"/>
                <w:szCs w:val="22"/>
              </w:rPr>
              <w:t xml:space="preserve">Общие расходы государственного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26,3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29,0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27,2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105,5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2"/>
                <w:szCs w:val="22"/>
              </w:rPr>
              <w:t xml:space="preserve">103,5</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Текущие расходы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107,9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110,2</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92,5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75,1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ГИ за счет внешних источников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финансирования (с учетом грантов)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внутреннее софинансирование</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64,6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77,4</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Капитальные расходы из внутренних источников</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119,8</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66,1</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т.ч. капитальные вложения из республиканского бюджета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157,9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57,7</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Выплата процентов по госдолгу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89,3</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102,9</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внешнему 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97,5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102,3</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 проценты по внутреннему долгу</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81,9</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103,6</w:t>
            </w:r>
          </w:p>
        </w:tc>
      </w:tr>
      <w:tr>
        <w:tc>
          <w:tcPr>
            <w:tcW w:type="dxa" w:w="36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Расходы по средствам специального счета</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103,4</w:t>
            </w:r>
          </w:p>
        </w:tc>
        <w:tc>
          <w:tcPr>
            <w:tcW w:type="dxa" w:w="109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109,4</w:t>
            </w:r>
          </w:p>
        </w:tc>
      </w:tr>
      <w:tr>
        <w:tc>
          <w:tcPr>
            <w:tcW w:type="dxa" w:w="3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Дискреционные текущие расходы государственного бюджета</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2"/>
          <w:szCs w:val="22"/>
        </w:rPr>
        <w:t xml:space="preserve">Таблица 11. Сравнительная таблица по контрольным цифрам утвержденного бюджета и факту за 2019 год</w:t>
      </w:r>
    </w:p>
    <w:p>
      <w:pPr>
        <w:spacing w:after="60"/>
        <w:ind w:firstLine="567"/>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6"/>
        <w:gridCol w:w="3495"/>
        <w:gridCol w:w="1358"/>
        <w:gridCol w:w="991"/>
        <w:gridCol w:w="1089"/>
        <w:gridCol w:w="1211"/>
        <w:gridCol w:w="898"/>
      </w:tblGrid>
      <w:tr>
        <w:tc>
          <w:tcPr>
            <w:tcW w:type="dxa" w:w="1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учреждения</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Министерства/ведомства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КЦ 2019 г. в ОНФП 2019-2021</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утвержд.</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факт. предв.</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 в % к утв. бюджету</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 в % к ОНФП</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Жогорку Кенеш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786617,6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786617,6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777143,3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Президента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168112,3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168112,3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150272,3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 Президента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5509,7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7952,7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236730,7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236730,7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207598,0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 Президента и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463772,8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486033,1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1070788,7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Верховный суд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2154617,1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2154617,1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1345094,5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Счетная палата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254719,6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254719,6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250939,5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148828,0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122637,6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111711,4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Генеральная прокуратура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590284,5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596569,3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666977,2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Военная прокуратура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30716,5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30716,5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39383,0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Аппарат Омбудсмена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31603,7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31603,7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юстиции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148464,3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148464,3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194552,1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иностранных дел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1318879,2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1318879,2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1196232,6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Резервные и другие фонды территорий</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508822,2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598222,2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488275,4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финансов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596593,4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599539,6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552360,1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КР (гос. программы)</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23470470,6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23283691,6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40607711,5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информационных технологий</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экономики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253605,6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247435,9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245561,9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исполнения наказаний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1208541,7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1378582,8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1386976,0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образования и науки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21764502,1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22038815,6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23143248,7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интеллектуальной собственности и инновации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118355,4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60192,0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здравоохранения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2428090,3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2432667,2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2434048,6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труда и социального развития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10825269,3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11736979,7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10834574,1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Академия государственного управления при Президенте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13696,1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13696,1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 "Республиканский Совет ветеранов войны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Минсельхоз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1693253,4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1700168,1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1299209,3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транспорта и дорог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2233690,7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2263690,7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2257647,0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культуры, информации и туризма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1873192,1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1884236,4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2153458,5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чрезвычайных ситуаций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1866184,1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1918585,9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1866439,0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Центрально-Азиатский институт прикладных исследований Земли</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14924,0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14924,0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налоговая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1238180,2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1623624,3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1612323,6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таможенная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571867,9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1071867,9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868981,9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Центральное правление "Кыргызского общества слепых и глухих"</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39701,3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комиссия по государственному языку при Президенте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30403,5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30403,5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19551,7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местного самоуправления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30706,1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32956,9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48815,9</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охраны окружающей среды и лесного хозяйства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661644,6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683900,2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572652,3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регистрационная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481504,3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578178,0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506413,2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экологической и технической безопасности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239924,8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303831,2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264514,4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промышленности, энергетики и недропользования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1396582,2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1404330,0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1371150,0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делам молодежи, физической культуры и спорта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732268,4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919472,7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990065,2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Агентство по продвижению и защите инвестиций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22628,5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22628,5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26465,6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регулирования и надзора за финансовым рынком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22113,7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23786,4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кадровая служба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60899,6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57759,6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архитектуры, строительства и ЖКХ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37280,3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37866,2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40393,8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по борьбе с экономическими преступлениями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151979,7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151979,7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177312,5</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инспекция по ветеринарной и фитосанитарной безопасности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508938,9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599243,4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519252,3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Государственный комитет информационных технологий и связи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242985,7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790226,5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251823,8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комиссия по делам религий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25905,9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25905,9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 судебного представительства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11402,5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11402,5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10289,6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Национальной комиссии КР по делам ЮНЕСКО</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институт стратегических исследований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15044,2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13706,0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финансовой разведки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27203,1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антимонопольного регулирования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57803,6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72803,6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81181,1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140,4</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служба миграции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75617,4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89839,3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77389,8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статистический комитет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231621,1</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465903,4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420909,3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ФУГИ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59777,3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58167,0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54425,7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ФГМР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290314,0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748605,7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Высшая аттестационная комиссия</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5528,4</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6555,4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7884,8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Секретариат Совета безопасности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18147,8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18147,8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академия наук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301477,3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301477,3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304174,0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Клиническая больница УД Президента и Правительства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142614,3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152233,2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157834,1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Национальный центр КР по предупреждению пыток</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12467,8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12467,8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12634,6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Государственное агентство по регулированию ТЭК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20679,2</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20679,2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26529,8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Редакции журналов и газет</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Телерадиовещательные компании</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533226,5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533226,5</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480517,8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Государственная судебно-экспертная служба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39893,8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39893,8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38142,3</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фонд 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20965930,3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21038980,1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21038980,1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11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ФОМС при ПКР</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10177900,0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10852341,7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10739174,6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w60fmj_kxgglhodqnbfd">
      <w:r>
        <w:rPr>
          <w:rFonts w:ascii="Arial" w:cs="Arial" w:eastAsia="Arial" w:hAnsi="Arial"/>
          <w:color w:val="132D3F"/>
          <w:sz w:val="16"/>
          <w:szCs w:val="16"/>
          <w:u w:val="single"/>
        </w:rPr>
        <w:t xml:space="preserve">dalil.kg/document/157907</w:t>
      </w:r>
    </w:hyperlink>
  </w:p>
  <w:p>
    <w:pPr>
      <w:spacing w:after="0" w:before="40"/>
      <w:jc w:val="center"/>
    </w:pPr>
    <w:hyperlink w:history="1" r:id="rId3vlvre1l3szrskpuvgm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7wsjo_hdr20a5wrsluh" Type="http://schemas.openxmlformats.org/officeDocument/2006/relationships/hyperlink" Target="https://dalil.kg/document/158638" TargetMode="External"/><Relationship Id="rIdgdphqau4e4bg8bw53k6hd" Type="http://schemas.openxmlformats.org/officeDocument/2006/relationships/hyperlink" Target="https://dalil.kg/document/157906" TargetMode="External"/><Relationship Id="rId2ijostvxotsucagc7hkzc"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w60fmj_kxgglhodqnbfd" Type="http://schemas.openxmlformats.org/officeDocument/2006/relationships/hyperlink" Target="https://dalil.kg/document/157907" TargetMode="External"/><Relationship Id="rId3vlvre1l3szrskpuvgm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2026-09-24T14:00:12.881Z</dcterms:created>
  <dcterms:modified xsi:type="dcterms:W3CDTF">2026-09-24T14:00:12.881Z</dcterms:modified>
</cp:coreProperties>
</file>

<file path=docProps/custom.xml><?xml version="1.0" encoding="utf-8"?>
<Properties xmlns="http://schemas.openxmlformats.org/officeDocument/2006/custom-properties" xmlns:vt="http://schemas.openxmlformats.org/officeDocument/2006/docPropsVTypes"/>
</file>