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mzhyblu3efyii0y57yo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2021 года № 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формы отчета по подоходному налогу, по средствам государственного социального страхования и трудовым отношениям и порядка ее заполнения и представления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x25l5fjdiry8acaqf0p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puuh1rjhwz0vl_0x1r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86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</w:t>
      </w:r>
      <w:hyperlink w:history="1" r:id="rIdco_rje3wyqssdxccitb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социальном страховании", статьями </w:t>
      </w:r>
      <w:hyperlink w:history="1" r:id="rIdutao3qtm81szvz8gn6-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3nvdvlsdr1e2slb09y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ftcwyscenwoimgilebo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отчета по подоходному налогу, по средствам государственного социального страхования и трудовым отношениям (FORM STI-161)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df2u0h7rlkqglkkidyw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отчета по подоходному налогу, по средствам государственного социального страхования и трудовым отношениям (FORM ST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-161)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odoqv6zj29j2baygyoc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отчетов, патентов, расчетов, уведомлений, информации по администрированию налогов и неналоговых доходов" от 16 марта 2011 года № 109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-vhrmqgmitsbqlynzbe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формы Информации о выплаченных суммах доходов и удержанного подоходного налога налоговым агентом (FORM STI-017), утвержденном вышеуказанным </w:t>
      </w:r>
      <w:hyperlink w:history="1" r:id="rId7daunxxpyo5rnn-lro9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"налоговым агентом" заменить словами "налоговым агентом - субъектом малого и среднего предпринимательства, некоммерческой организацией";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ssnkqmlhs7ykpgvygmz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формы Информации о суммах выплаченных доходов и удержанного подоходного налога налоговым агентом с физических лиц, работающих по договорам, заключенным в соответствии с трудовым законодательством Кыргызской Республики (FORM STI-058), утвержденном вышеуказанным </w:t>
      </w:r>
      <w:hyperlink w:history="1" r:id="rId1dcwujxtokrouvpp4ii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"налоговым агентом" заменить словами "налоговым агентом - субъектом малого и среднего предпринимательства, некоммерческой организацией".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xbywtdonistsh6lujsx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отчетности и порядков их заполнения и представления" от 9 октября 2015 года № 699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девятом слова "и FORM STI-134"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imtiziufbgefnzhj_t_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отчета по подоходному налогу, удерживаемому налоговым агентом (FORM STI-132, FORM STI-33 и FORM STI-134), утвержденном вышеуказанным </w:t>
      </w:r>
      <w:hyperlink w:history="1" r:id="rId82s-qovwjkct7tsqlq5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в пункте 1 слова ", FORM STI-134"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раздела 2 слова "и налогового агента (за исключением субъекта малого и среднего предпринимательства, некоммерческой организации (FORM STI-134)"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"24. В отчете FORM STI-132:".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-yhpih2qfq0b-ufzgzp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tnicbivzzpfytqa5be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начисления и уплаты страховых взносов по государственному социальному страхованию" от 17 июля 2020 года № 385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fpddlwab6ksk4s1h71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начисления и уплаты страховых взносов по государственному социальному страхованию, утвержденной вышеуказанным </w:t>
      </w:r>
      <w:hyperlink w:history="1" r:id="rIdc-1djxg6pabosrqqvwk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"Плательщики страховых взносов, не являющиеся субъектами малого и среднего предпринимательства, некоммерческой организацией в соответствии с налоговым законодательством Кыргызской Республики, ежемесячно составляют и представляют расчетную ведомость по средствам обязательного государственного социального страхования, по форме и порядку, утвержденным Правительством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апреля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FORM STI-161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Отчет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по подоходному налогу, по средствам государственного социального страхования и трудовым отношениям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Порядок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заполнения и представления отчета по подоходному налогу, по средствам государственного социального страхования и трудовым отношениям
 (FORM STI-161)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Настоящий Порядок определяет порядок заполнения и представления формы отчета по подоходному налогу, по средствам государственного социального страхования и трудовым отношениям (FORM STI-161) (далее - Отчет), предназначенного для представления налоговым агентом, не являющимся субъектом малого или среднего предпринимательства или некоммерческой организацией, в налоговые органы по месту уплаты подоходного налога и страховых взносов.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Отчет представляется плательщиками в виде электронного документа в порядке, определяемом Правительством Кыргызской Республики не позднее дня, следующего за 20 числом месяца, следующего за отчетным месяцем.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В ячейке 001: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в случае, если отчет сдается впервые за отчетный период, отметка в виде знака "X" указывается в ячейке "первоначальный";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в случае, если ранее за этот же отчетный период отчет уже представлялся, но в последующем были обнаружены какие-то неточности или ошибки, которые исправлены в представляемом отчете, отметка в виде знака "X" указывается в ячейке "уточненный";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в случае, если отчет сдается в связи с ликвидацией плательщика, отметка в виде знака "X" ставится в ячейке "ликвидационный".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В ячейке 901 указывается дата принятия отчета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 В ячейке 902 указывается ИНН сотрудника налогового органа, принявшего отчет.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 Показатели, отражаемые в ячейках 102, 103, 104, 107, 901 и 902 отчета, должны быть идентичны данным, отраженным в этих ячейках в приложении.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2. Порядок заполнения информации о плательщике подоходного налога и страховых взносов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7. В ячейке 102 указывается ИНН 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 В ячейке 103 указываются полное наименование плательщика или фамилия, имя, отчество (далее - ФИО).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9. В ячейке 104 указываются код и наименование налогового органа по месту налоговой и/или учетной регистрации 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10. В ячейке 107 указывается код плательщика по Общему классификатору предприятий 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11. В ячейке 112 указывается индекс почтового отделения по месту фактического местонахождения 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12. В ячейке 113 указывается фактическое местонахождения налогоплательщика (область, город, район, село).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13. В ячейке 114 указывается адрес фактического местонахождения плательщика (наименование улицы, номер дома, офиса, квартиры).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14. В ячейке 115 указывается номер телефона 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15. В ячейке 116 указывается адрес электронной почты 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16. В ячейке 117 указывается регистрационный учетный номер плательщика, присвоенный региональным органом страховщика и указанный в извещении страхователю.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17. В ячейке 118 указывается коэффициент высокогорья/отдаленности, в соответствии со следующим классификатором: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коэффициент высокогорья;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коэффициент отдаленных районов.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Примечание: в случае отсутствия показателя данная ячейка не заполняется, т.е. значение поля будет пустым.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18. В ячейке 119 указывается вид тарифа страховых взносов.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19. В ячейке 120 указывается размер среднемесячной заработной платы, принимаемый для исчисления страховых взносов, установленный Национальным статистическим комитетом Кыргызской Республики, и сложившийся в районах и городах республики за предыдущий календарный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20. В ячейке 130 указывается код административно-территориальной единицы фактического местонахождения налогоплательщика, согласно Государственному классификатору системы обозначений объектов административно-территориальных единиц (СОАТЕ).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21. В ячейке 131 указывается код экономической деятельности плательщика по Государственному классификатору экономической деятельности (ГКЭД).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22. В ячейке 132 указывается организационно-правовая форма (ОПФ).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23. В ячейке 133 указывается форма собственности (ФС).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24. В ячейке 134 указывается количество календарных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25. В ячейке 201 указывается дата начала отчетного периода, за который представляется отчет (день, месяц и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26. В ячейке 202 указывается дата последнего дня отчетного периода, за который представляется отчет (день, месяц и год).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3. Порядок заполнения информации по подоходному налогу, по средствам государственного социального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27. В ячейке 203 указывается общее количество работников, указанных в приложении к Отчету.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28. В ячейке 204 указывается итоговая сумма графы 11 приложения к Отчету.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29. В ячейке 205 указывается итоговая сумма графы 13 приложения к Отчету.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30. В ячейке 206 указывается итоговая сумма графы 14 приложения к Отчету.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31. В ячейке 207 указывается итоговая сумма графы 15 приложения к Отчету.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32. В ячейке 208 указывается итоговая сумма графы 16 приложения к Отчету.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33. В ячейке 209 указывается итоговая сумма графы 17 приложения к Отчету.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34. В ячейке 210 указывается итоговая сумма графы 18 приложения к Отчету.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35. В ячейке 211 указывается общая сумма доходов, выплаченных физическим лицам в течение отчетного периода.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36. В ячейке 212 указывается общая сумма подоходного налога, подлежащая перечислению в бюджет за отчетный период, включая сумму подоходного налога, исчисленного при применении минимального расчетного дохода.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37. В ячейке 213 указывается итоговая сумма графы 19 приложения к Отчету.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38. В ячейке 214 указывается итоговая сумма графы 20 приложения к Отчету.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4. Порядок заполнения информации о работниках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39. В ячейке 301 указывается численность работников списочного состава, как работающих, так и сохраняющих формальное прикрепление к работе.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Среднесписочная численность работников за месяц исчисляется путем суммирования численности работников списочного состава за все календарные дни месяца, т.е. включая праздничные и выходные дни и деления полученной суммы на число календарных дней в месяце.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40. В ячейке 302 указываются фактически отработанные работниками часы с учетом сверхурочных и отработанных в праздничные (нерабочие) и выходные (по графику) дни, как по основной работе (должности), так и по совмещаемой в этой же организации работе, включая часы работы в служебных командировках.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Примечание: Порядок расчета человеко-часов.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Например: "ЧЧ = Ч</w:t>
      </w:r>
      <w:r>
        <w:rPr>
          <w:rFonts w:ascii="Arial" w:cs="Arial" w:eastAsia="Arial" w:hAnsi="Arial"/>
          <w:sz w:val="22"/>
          <w:szCs w:val="22"/>
        </w:rPr>
        <w:t xml:space="preserve">1</w:t>
      </w:r>
      <w:r>
        <w:rPr>
          <w:rFonts w:ascii="Arial" w:cs="Arial" w:eastAsia="Arial" w:hAnsi="Arial"/>
          <w:sz w:val="22"/>
          <w:szCs w:val="22"/>
        </w:rPr>
        <w:t xml:space="preserve"> + Ч</w:t>
      </w:r>
      <w:r>
        <w:rPr>
          <w:rFonts w:ascii="Arial" w:cs="Arial" w:eastAsia="Arial" w:hAnsi="Arial"/>
          <w:sz w:val="22"/>
          <w:szCs w:val="22"/>
        </w:rPr>
        <w:t xml:space="preserve">2</w:t>
      </w:r>
      <w:r>
        <w:rPr>
          <w:rFonts w:ascii="Arial" w:cs="Arial" w:eastAsia="Arial" w:hAnsi="Arial"/>
          <w:sz w:val="22"/>
          <w:szCs w:val="22"/>
        </w:rPr>
        <w:t xml:space="preserve"> + ... + Ч</w:t>
      </w:r>
      <w:r>
        <w:rPr>
          <w:rFonts w:ascii="Arial" w:cs="Arial" w:eastAsia="Arial" w:hAnsi="Arial"/>
          <w:sz w:val="22"/>
          <w:szCs w:val="22"/>
        </w:rPr>
        <w:t xml:space="preserve">N</w:t>
      </w:r>
      <w:r>
        <w:rPr>
          <w:rFonts w:ascii="Arial" w:cs="Arial" w:eastAsia="Arial" w:hAnsi="Arial"/>
          <w:sz w:val="22"/>
          <w:szCs w:val="22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где ЧЧ - количество отработанных человеко-часов;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Ч</w:t>
      </w:r>
      <w:r>
        <w:rPr>
          <w:rFonts w:ascii="Arial" w:cs="Arial" w:eastAsia="Arial" w:hAnsi="Arial"/>
          <w:sz w:val="22"/>
          <w:szCs w:val="22"/>
        </w:rPr>
        <w:t xml:space="preserve">N</w:t>
      </w:r>
      <w:r>
        <w:rPr>
          <w:rFonts w:ascii="Arial" w:cs="Arial" w:eastAsia="Arial" w:hAnsi="Arial"/>
          <w:sz w:val="22"/>
          <w:szCs w:val="22"/>
        </w:rPr>
        <w:t xml:space="preserve"> - количество часов, отработанных n-ым работником.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отработанные человеко-часы не включается: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время нахождения работников в ежегодных, дополнительных, учебных отпусках, отпусках по инициативе работодателя;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время повышения квалификации работников с отрывом от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время болезни;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время внутрисменного простоя;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часы перерывов в работе матерей для кормления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часы сокращения продолжительности работы отдельных категорий работников, которым в соответствии с законодательством установлена сокращенная продолжительность рабочего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время участия в забастовках;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другие случаи отсутствия работников на работе независимо от того сохранялась за ними заработная плата или нет.".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41. В ячейке 303 указывается количество работников, принятых на работу по совместительству из других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42. В ячейке 304 указывается количество работников, требующихся в организации, при условии обеспечения их полной занятости.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43. В ячейке 305 указывается численность работников, которые приняты или могут быть приняты на вновь образованные в отчетном периоде рабочие места в результате расширения, реорганизации производства, увеличения сменности работы и т.п.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44. В ячейке 306 указывается количество ликвидированных рабочих мест в отчетном периоде в результате закрытия предприятия, подлежащих ликвидации, остановки производства в связи сокращением объемов.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45. В ячейке 307 указывается численность принятых работников, зачисленных в отчетном периоде в данную организацию приказом (распоряжением) о приеме на работу.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46. В ячейке 308 указывается количество работников, высвобожденных в связи с сокращением штата.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47. В ячейке 309 указывается количество работников, выбывших из организации по инициативе самого работника, а также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избрание на должности, замещаемые по конкурсу;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переезд в другую местность; перевод супруга в другую местность, за границу;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болезнь или инвалидность, препятствующие продолжению работы или проживанию в данной местности;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зачисление в образовательное учреждение, аспирантуру или клиническую ординатуру;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увольнение по собственному желанию с наступлением пенсионного возраста или получающих пенсию по возрасту;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6) необходимость ухода за больными членами семьи или инвалидами 1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7) соглашение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8) увольнение по собственному желанию беременных женщин, женщин, имеющих детей в возрасте до 14 лет, одиноких матерей;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9) при наличии у них ребенка в возрасте до 14 лет или ребенка-инвалида до 16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48. В ячейке 310 указывается количество работников, выбывших по другим причинам независимо от оснований (расторжение трудового договора по инициативе работника, инициативе администрации, соглашению сторон; призыв или поступление на военную службу; перевод работника с его согласия в другую организацию или переход на выборную должность и др.), уход или перевод которых оформлен приказом (распоряжением), а также выбывшие в связи со смертью.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49. В ячейке 311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выплаты по сдельным расценкам, тарифным ставкам, должностным окладам;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выплаты компенсирующего характера, связанные с режимом работы и условиями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надбавки и доплаты к тарифным ставкам и должностным окладам;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премии и вознаграждения, носящие регулярный или периодический характер;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другие виды оплаты труда (оплата услуг работников бухгалтерий за выполнение работы по перечислению страховых взносов из заработной платы; оплата труда совместителей, принятых из других предприятий и работников, не состоящих в штате предприятия, за выполнение разовых работ).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50. В ячейке 312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оплата ежегодных и дополнительных отпусков;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оплата учебных отпусков; оплата простоев не по вине работника;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суммы, выплаченные работникам, находящимся в отпусках по инициативе администрации, с частичным сохранением заработной 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выходное пособие в случае прекращения трудового договора по инициативе администрации из-за не соответствия выполняемой работы, в связи с призывом на военную службу и другими обстоятельствами, не зависящими от воли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оплата дней невыхода на работу по болезни за счет средств предприятия и т.п.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51. В ячейке 313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единовременные премии, независимо от источников их выплаты;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вознаграждения по итогам работы за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материальная помощь, предоставленная всем или большинству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дополнительные выплаты при предоставлении ежегодного отпуска; денежная компенсация за неиспользованный отпуск;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стоимость бесплатно выдаваемых работникам в качестве поощрения акций или льгот по их приобретению.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52. В ячейке 314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стоимость бесплатно предоставленных работникам отдельных отраслей экономики продуктов, питания, жилья и коммунальных услуг (в соответствии с действующим законодательством);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оплата (полная или частичная) стоимости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средства на возмещение расходов работников по оплате жилья, квартирной платы или места в общежитии;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стоимость бесплатного предоставленного работникам 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стоимость льгот по проезду работников железнодорожного, авиационного, автомобильного транспорта, городского электротранспорта, оплата стоимости проезда к месту работы транспортом общего пользования, специальными маршрутами, ведомственным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6) стоимость выданных бесплатно форменной одежды, обмундирования, остающихся в личном постоянном пользовании или сумма льгот в связи с их продажей по пониженным ценам.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5. Порядок заполнения информации по выплатам, не включаемым в заработную плату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53. В ячейке 401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стоимость жилья, переданного в собственность работникам;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суммы, уплаченные за работников предприятием в порядке погашения заемных денежных средств, выданных работникам на жилищное строительство, приобретение жилья;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безвозмездные субсидии, предоставленные работникам на жилищное строительство или приобретение жилья и т.п.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54. В ячейке 402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страховые платежи (взносы) по государственному социальному страхованию;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страховые платежи (взносы), уплачиваемые предприятием по договорам личного, имущественного и иного страхования в пользу своих работников, кроме обязательного государственного личного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выходное пособие при прекращении трудового договора вследствие ликвидации предприятия (юридического лица), сокращения численности или штата работников, в том числе в связи с реорганизацией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суммы, выплаченные уволенным работникам на период трудоустройства в связи с ликвидацией или реорганизацией предприятия, осуществлением мероприятий по сокращению численности или штата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единовременные пособия (выплаты, вознаграждения) при выходе на пенсию ветеранам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6) надбавки к пенсиям работающим пенсионерам, выплаченные за счет средств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7) взносы, уплачиваемые предприятием по договорам добровольного медицинского страхования работников и членов их семей;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8) суммы, выплаченные за счет средств предприятия, в возмещение вреда, причиненного работникам увечьем, профессиональным заболеванием, либо иным повреждением здоровья, связанным с исполнением ими трудовых обязанностей, а также иждивенцам погибших;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9) компенсация работникам морального вреда, определяемого судом;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10) материальная помощь, предоставленная отдельным работникам по семейным обстоятельствам, на погребение и т.п.;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11) выплаты неработающим пенсионерам.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55. В ячейке 403 указываются начисления, которые делает предприятие (работодатель) в пользу нанятых работников. Отчисления работников на социальное страхование в этот показатель не входят.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56. В ячейке 404 указывается сумма выходного пособия при высвобождении, материальной помощи в случае определенных событий, выплат неработающим пенсионерам, на погребение и т.п.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57. В ячейке 405 указывается сумма пособий в связи с производственной травмой, компенсаций работникам морального вреда.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58. В ячейке 406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расходы на платное обучение работников в учебных заведениях;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стипендии работникам, состоящим в списочном составе и направленным предприятием на обучение в учебные заведения, выплачиваемые за счет средств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компенсации педагогическим работникам образовательных учреждений за приобретение книг, учебников и другой издательской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расходы на организацию учебного процесса (учебный материал, аренда помещения, расходы по содержанию учебных зданий и помещений, находящихся на балансе предприятия, текущий ремонт и т.п.).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59. В ячейке 407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расходы по оплате услуг поликлиник по договорам, заключенным с органами здравоохранения на предоставление своим работникам медицинской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оплата за содержание детей в дошкольных учреждениях за счет средств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оплата абонементов в группы здоровья, занятий в спортивных секциях;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расходы на содержание жилья, учебных и дошкольных учреждений, медпунктов, профилакториев, столовых, домов отдыха, библиотек, спортивных сооружений и т.п., принадлежащих предприятию;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расходы на проведение культурно-массовых, физкультурных и спортивных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6) расходы на приобретение медикаментов для лечебно-профилактических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7) расходы по организации кружков, курсов, студий, клубов и т.п.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60. В ячейке 408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стоимость выданной спецодежды, спецобуви и других средств индивидуальной защиты, мыла и других моющих средств, молока и лечебно-профилактического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командировочные расходы за время служебных командировок (включая суточные);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расходы при переводе работников на работу в другие местности; представительские расходы;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расходы по оформлению служебных заграничных паспортов и получения виз;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расходы на погашение ссуд, выданных работникам предприятий; компенсация работнику материальных затрат за использование личного автомобиля в служебных целях.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61. В ячейке 409 указывается сумма суточных расходов из общей суммы прочих расходов, указанных в ячейке 408.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62. В ячейке 410 указывается сумма доходов по акциям и другим доходам от участия работников в собственности предприятия (дивиденды, проценты, выплаты по долевым паям и т.п.).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6. Порядок заполнения приложения к отчету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63. В графе 1 указывается порядковый номер.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64. В графе 2 указывается идентификационный номер налогоплательщика (ИНН) работника.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65. В графе 3 указываются фамилия, имя, отчество работника.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66. В графе 4 указывается категория работника по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68"/>
        <w:gridCol w:w="1677"/>
        <w:gridCol w:w="7332"/>
      </w:tblGrid>
      <w:tr>
        <w:tc>
          <w:tcPr>
            <w:tcW w:type="dxa" w:w="11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
 п/п</w:t>
            </w:r>
          </w:p>
        </w:tc>
        <w:tc>
          <w:tcPr>
            <w:tcW w:type="dxa" w:w="1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Код</w:t>
            </w:r>
          </w:p>
        </w:tc>
        <w:tc>
          <w:tcPr>
            <w:tcW w:type="dxa" w:w="73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категории работников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Категории работников по трудовым договорам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001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Основной работник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001-64/69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Основной работник до 64/69 г.р.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003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Пенсионер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010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Иностранный гражданин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020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Трудовые мигранты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Инвалид 1-2 группы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101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Участник/инвалид ВОВ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102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Лица, приравненные к участникам ВОВ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106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МОП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106-64/69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МОП (64/69 г.р.)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107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Пенсионер МОП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Категории работников по совместительству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Инвалид 1-2 группы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201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Основной работник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201-64/69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Основной работник до 64/69 г.р.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Лица, приравненные к участникам ВОВ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203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Пенсионер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204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Арендодатель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205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Гонорары, вознаграждения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206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МОП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206-64/69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МОП (64/69 г.р.)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207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Пенсионер МОП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210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Иностранный гражданин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Трудовые мигранты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Категории работников без трудовых отношений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103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частный предприниматель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104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арендодатель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105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гонорары, вознаграждения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Сделки по купле продаже для налоговых агентов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109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67. В графе 5 указывается цифровой код страны гражданства работника </w:t>
      </w:r>
      <w:r>
        <w:rPr>
          <w:rFonts w:ascii="Arial" w:cs="Arial" w:eastAsia="Arial" w:hAnsi="Arial"/>
          <w:sz w:val="22"/>
          <w:szCs w:val="22"/>
        </w:rPr>
        <w:t xml:space="preserve">согласно Межгосударственному классификатору стран мира.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68. В графе 6 указывается код резидентства работника по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3"/>
        <w:gridCol w:w="692"/>
        <w:gridCol w:w="9083"/>
      </w:tblGrid>
      <w:tr>
        <w:tc>
          <w:tcPr>
            <w:tcW w:type="dxa" w:w="4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Код</w:t>
            </w:r>
          </w:p>
        </w:tc>
        <w:tc>
          <w:tcPr>
            <w:tcW w:type="dxa" w:w="90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</w:t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01</w:t>
            </w:r>
          </w:p>
        </w:tc>
        <w:tc>
          <w:tcPr>
            <w:tcW w:type="dxa" w:w="9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Физическое лицо, являющееся гражданином Кыргызской Республики</w:t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02</w:t>
            </w:r>
          </w:p>
        </w:tc>
        <w:tc>
          <w:tcPr>
            <w:tcW w:type="dxa" w:w="9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Физическое лицо-резидент, не являющееся гражданином Кыргызской Республики, имеющее вид на жительство в Кыргызской Республике или статус кайрылмана</w:t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03</w:t>
            </w:r>
          </w:p>
        </w:tc>
        <w:tc>
          <w:tcPr>
            <w:tcW w:type="dxa" w:w="9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Физическое лицо-нерезидент, не являющееся гражданином Кыргызской Республики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69. В графе 7 указывается дата начала</w:t>
      </w:r>
      <w:r>
        <w:rPr>
          <w:rFonts w:ascii="Arial" w:cs="Arial" w:eastAsia="Arial" w:hAnsi="Arial"/>
          <w:sz w:val="22"/>
          <w:szCs w:val="22"/>
        </w:rPr>
        <w:t xml:space="preserve"> работы работника в формате ДД.ММ.ГГГГ.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Примечание: При приеме на работу работника 15.01.2020, дата начала работы указывается как 15.01.2020.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70. В графе 8 указывается дата окончания работы работника в формате ДД.ММ.ГГГГ.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Примечание: При увольнении работника 25.01.2020, дата окончания работы указывается как 25.01.2020.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71. В графе 9 указывается количество фактически отработанных дней работником.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 нахождении работника в неоплачиваемом отпуске при наличии в этом отчетном периоде фактически отработанных дней, в которые осуществляется начисление заработной платы и иных доходов, указывается полный период - календарный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 нахождении работника в оплачиваемом отпуске, указывается полный период - календарный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 отсутствии работника по причине временной нетрудоспособности указывается период - полный календарный месяц.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72. В графе 10 указывается код дохода согласно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11"/>
        <w:gridCol w:w="8867"/>
      </w:tblGrid>
      <w:tr>
        <w:tc>
          <w:tcPr>
            <w:tcW w:type="dxa" w:w="13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Код дохода</w:t>
            </w:r>
          </w:p>
        </w:tc>
        <w:tc>
          <w:tcPr>
            <w:tcW w:type="dxa" w:w="88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выплаченных доходов</w:t>
            </w:r>
          </w:p>
        </w:tc>
      </w:tr>
      <w:tr>
        <w:tc>
          <w:tcPr>
            <w:tcW w:type="dxa" w:w="1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001</w:t>
            </w:r>
          </w:p>
        </w:tc>
        <w:tc>
          <w:tcPr>
            <w:tcW w:type="dxa" w:w="8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Доход от работы по найму</w:t>
            </w:r>
          </w:p>
        </w:tc>
      </w:tr>
      <w:tr>
        <w:tc>
          <w:tcPr>
            <w:tcW w:type="dxa" w:w="1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002</w:t>
            </w:r>
          </w:p>
        </w:tc>
        <w:tc>
          <w:tcPr>
            <w:tcW w:type="dxa" w:w="8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Вознаграждение по договорам гражданско-правого характера</w:t>
            </w:r>
          </w:p>
        </w:tc>
      </w:tr>
      <w:tr>
        <w:tc>
          <w:tcPr>
            <w:tcW w:type="dxa" w:w="1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003</w:t>
            </w:r>
          </w:p>
        </w:tc>
        <w:tc>
          <w:tcPr>
            <w:tcW w:type="dxa" w:w="8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Дивиденды</w:t>
            </w:r>
          </w:p>
        </w:tc>
      </w:tr>
      <w:tr>
        <w:tc>
          <w:tcPr>
            <w:tcW w:type="dxa" w:w="1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004</w:t>
            </w:r>
          </w:p>
        </w:tc>
        <w:tc>
          <w:tcPr>
            <w:tcW w:type="dxa" w:w="8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Роялти, в том числе по доходам от использования и (или) предоставления права использования объектов интеллектуальной собственности</w:t>
            </w:r>
          </w:p>
        </w:tc>
      </w:tr>
      <w:tr>
        <w:tc>
          <w:tcPr>
            <w:tcW w:type="dxa" w:w="1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005</w:t>
            </w:r>
          </w:p>
        </w:tc>
        <w:tc>
          <w:tcPr>
            <w:tcW w:type="dxa" w:w="8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Доходы от операций с ценными бумагами (от отчуждения ценных бумаг)</w:t>
            </w:r>
          </w:p>
        </w:tc>
      </w:tr>
      <w:tr>
        <w:tc>
          <w:tcPr>
            <w:tcW w:type="dxa" w:w="1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006</w:t>
            </w:r>
          </w:p>
        </w:tc>
        <w:tc>
          <w:tcPr>
            <w:tcW w:type="dxa" w:w="8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Доходы от отчуждения долей в уставном капитале юридического лица</w:t>
            </w:r>
          </w:p>
        </w:tc>
      </w:tr>
      <w:tr>
        <w:tc>
          <w:tcPr>
            <w:tcW w:type="dxa" w:w="1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007</w:t>
            </w:r>
          </w:p>
        </w:tc>
        <w:tc>
          <w:tcPr>
            <w:tcW w:type="dxa" w:w="8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Доходы от отчуждения недвижимого имущества</w:t>
            </w:r>
          </w:p>
        </w:tc>
      </w:tr>
      <w:tr>
        <w:tc>
          <w:tcPr>
            <w:tcW w:type="dxa" w:w="1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008</w:t>
            </w:r>
          </w:p>
        </w:tc>
        <w:tc>
          <w:tcPr>
            <w:tcW w:type="dxa" w:w="8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Иные доходы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73. В графе 11 указывается сумма начисленного дохода работнику для исчисления подоходного налога.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74. В графе 12 указывается фактический доход, на который начисляются страховые взносы.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Примечание: нулевое значение ФОТ в отчетном месяце допускается для работников: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находящихся в оплачиваемом отпуске;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отсутствующих по временной нетрудоспособности в отчетном месяце.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75. В графе 13 указываются доходы физических лиц, не подлежащих обложению подоходным налогом за отчетный период, предусмотренные </w:t>
      </w:r>
      <w:r>
        <w:rPr>
          <w:rFonts w:ascii="Arial" w:cs="Arial" w:eastAsia="Arial" w:hAnsi="Arial"/>
          <w:sz w:val="22"/>
          <w:szCs w:val="22"/>
        </w:rPr>
        <w:t xml:space="preserve">статьей 167</w:t>
      </w:r>
      <w:r>
        <w:rPr>
          <w:rFonts w:ascii="Arial" w:cs="Arial" w:eastAsia="Arial" w:hAnsi="Arial"/>
          <w:sz w:val="22"/>
          <w:szCs w:val="22"/>
        </w:rPr>
        <w:t xml:space="preserve"> Налогового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76. В графе 14 указывается общая сумма стандартных вычетов, произведенных с доходов физических лиц, согласно </w:t>
      </w:r>
      <w:r>
        <w:rPr>
          <w:rFonts w:ascii="Arial" w:cs="Arial" w:eastAsia="Arial" w:hAnsi="Arial"/>
          <w:sz w:val="22"/>
          <w:szCs w:val="22"/>
        </w:rPr>
        <w:t xml:space="preserve">статье 170</w:t>
      </w:r>
      <w:r>
        <w:rPr>
          <w:rFonts w:ascii="Arial" w:cs="Arial" w:eastAsia="Arial" w:hAnsi="Arial"/>
          <w:sz w:val="22"/>
          <w:szCs w:val="22"/>
        </w:rPr>
        <w:t xml:space="preserve"> Налогового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77. В графе 15 указывается общая сумма доходов, подлежащих обложению подоходным налогом.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78. В графе 16 указывается общая сумма удержанного подоходного налога с доходов физических лиц налоговым агентом.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79. В графе 17 указывается общая сумма подоходного налога, подлежащего перечислению за счет прибыли.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80. В графе 18 указывается общая сумма удержанного подоходного налога, которая равна соответственно сумме граф 16 и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81. В графе 19 указывается сумма начисленных страховых взносов в Пенсионный фонд, Фонд обязательного медицинского страхования, Фонд оздоровления трудящихся (ПФ, ФОМС, ФОТ).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82. В графе 20 указывается сумма начисленных взносов по Государственному накопительному пенси</w:t>
      </w:r>
      <w:r>
        <w:rPr>
          <w:rFonts w:ascii="Arial" w:cs="Arial" w:eastAsia="Arial" w:hAnsi="Arial"/>
          <w:sz w:val="20"/>
          <w:szCs w:val="20"/>
        </w:rPr>
        <w:t xml:space="preserve">онному фонду Кыргызской Республики (ГНПФ КР).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9hayl7cmxnem5-bke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dalil.kg/document/158066</w:t>
      </w:r>
    </w:hyperlink>
  </w:p>
  <w:p>
    <w:pPr>
      <w:spacing w:after="0" w:before="40"/>
      <w:jc w:val="center"/>
    </w:pPr>
    <w:hyperlink w:history="1" r:id="rIdr_f90xxrg0_75gdw09d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hyblu3efyii0y57yoto" Type="http://schemas.openxmlformats.org/officeDocument/2006/relationships/hyperlink" Target="https://dalil.kg/document/158988" TargetMode="External"/><Relationship Id="rIdx25l5fjdiry8acaqf0pxx" Type="http://schemas.openxmlformats.org/officeDocument/2006/relationships/hyperlink" Target="https://dalil.kg/document/202445#st_85" TargetMode="External"/><Relationship Id="rIdwpuuh1rjhwz0vl_0x1rv4" Type="http://schemas.openxmlformats.org/officeDocument/2006/relationships/hyperlink" Target="https://dalil.kg/document/202445#st_86" TargetMode="External"/><Relationship Id="rIdco_rje3wyqssdxccitbxt" Type="http://schemas.openxmlformats.org/officeDocument/2006/relationships/hyperlink" Target="https://dalil.kg/document/627#st_24" TargetMode="External"/><Relationship Id="rIdutao3qtm81szvz8gn6-7d" Type="http://schemas.openxmlformats.org/officeDocument/2006/relationships/hyperlink" Target="https://dalil.kg/document/203685#st_10" TargetMode="External"/><Relationship Id="rIdo3nvdvlsdr1e2slb09ydd" Type="http://schemas.openxmlformats.org/officeDocument/2006/relationships/hyperlink" Target="https://dalil.kg/document/203685#st_17" TargetMode="External"/><Relationship Id="rIdftcwyscenwoimgileboia" Type="http://schemas.openxmlformats.org/officeDocument/2006/relationships/hyperlink" Target="https://dalil.kg/document/158066#pr1" TargetMode="External"/><Relationship Id="rIddf2u0h7rlkqglkkidywge" Type="http://schemas.openxmlformats.org/officeDocument/2006/relationships/hyperlink" Target="https://dalil.kg/document/158066#pr2" TargetMode="External"/><Relationship Id="rIdodoqv6zj29j2baygyoclb" Type="http://schemas.openxmlformats.org/officeDocument/2006/relationships/hyperlink" Target="https://dalil.kg/document/92501" TargetMode="External"/><Relationship Id="rId-vhrmqgmitsbqlynzbe3u" Type="http://schemas.openxmlformats.org/officeDocument/2006/relationships/hyperlink" Target="https://dalil.kg/document/92501#pr33" TargetMode="External"/><Relationship Id="rId7daunxxpyo5rnn-lro9vv" Type="http://schemas.openxmlformats.org/officeDocument/2006/relationships/hyperlink" Target="https://dalil.kg/document/92501" TargetMode="External"/><Relationship Id="rIdssnkqmlhs7ykpgvygmzkx" Type="http://schemas.openxmlformats.org/officeDocument/2006/relationships/hyperlink" Target="https://dalil.kg/document/92501#pr35" TargetMode="External"/><Relationship Id="rId1dcwujxtokrouvpp4iith" Type="http://schemas.openxmlformats.org/officeDocument/2006/relationships/hyperlink" Target="https://dalil.kg/document/92501" TargetMode="External"/><Relationship Id="rIdxbywtdonistsh6lujsxls" Type="http://schemas.openxmlformats.org/officeDocument/2006/relationships/hyperlink" Target="https://dalil.kg/document/99060" TargetMode="External"/><Relationship Id="rIdimtiziufbgefnzhj_t_xh" Type="http://schemas.openxmlformats.org/officeDocument/2006/relationships/hyperlink" Target="https://dalil.kg/document/99060#pr8" TargetMode="External"/><Relationship Id="rId82s-qovwjkct7tsqlq5ap" Type="http://schemas.openxmlformats.org/officeDocument/2006/relationships/hyperlink" Target="https://dalil.kg/document/99060" TargetMode="External"/><Relationship Id="rId-yhpih2qfq0b-ufzgzptj" Type="http://schemas.openxmlformats.org/officeDocument/2006/relationships/hyperlink" Target="https://dalil.kg/document/157782" TargetMode="External"/><Relationship Id="rIdctnicbivzzpfytqa5beuy" Type="http://schemas.openxmlformats.org/officeDocument/2006/relationships/hyperlink" Target="https://dalil.kg/document/157783" TargetMode="External"/><Relationship Id="rIdbfpddlwab6ksk4s1h717y" Type="http://schemas.openxmlformats.org/officeDocument/2006/relationships/hyperlink" Target="https://dalil.kg/document/157783" TargetMode="External"/><Relationship Id="rIdc-1djxg6pabosrqqvwkhz" Type="http://schemas.openxmlformats.org/officeDocument/2006/relationships/hyperlink" Target="https://dalil.kg/document/157782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9hayl7cmxnem5-bkekb" Type="http://schemas.openxmlformats.org/officeDocument/2006/relationships/hyperlink" Target="https://dalil.kg/document/158066" TargetMode="External"/><Relationship Id="rIdr_f90xxrg0_75gdw09d5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2026-09-24T01:18:14.684Z</dcterms:created>
  <dcterms:modified xsi:type="dcterms:W3CDTF">2026-09-24T01:18:14.684Z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