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hwwi0eb7ah5jwwafwt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 Решением Совета Евразийской экономической комиссии № 128 от 23 декабря 2020 года "О внесении изменений в Решение Совета Евразийской экономической комиссии от 3 ноября 2016 года № 78", в целях эффективного осуществления процедур, связанных с государственной регистрацией в сфере обращения лекарственных средств, в соответствии со статьями </w:t>
      </w:r>
      <w:hyperlink w:history="1" r:id="rIdp5di0nto6dm8vdn0kr3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plg_w_a8cqqhkang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5h3pyybx-l_nytdt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"государственная регистрация, подтверждение государственной регистрации и внесение изменений в регистрационное досье лекарственного препарата до 31 декабря 2020 года осуществляются" заменить словами "государственная регистрация лекарственного препарата до 1 июля 2021 года осуществляется";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подтверждение государственной регистрации и внесение изменений в регистрационное досье лекарственного препарата до 31 декабря 2025 года осуществляются в соответствии с </w:t>
      </w:r>
      <w:hyperlink w:history="1" r:id="rIdmantmzg3vz28-fyfvb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</w:t>
      </w:r>
      <w:hyperlink w:history="1" r:id="rIdfiztakwz_x39kaxmnh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ea4ev23yncifbczzi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применения, утвержденном вышеуказанным </w:t>
      </w:r>
      <w:hyperlink w:history="1" r:id="rIdrbzi2gowvdxho-sjts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53 и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Заявление должно быть подано не ранее 180 календарных дней до истечения срока действия регистрационного удостоверения, но не позднее последнего дня окончания срока действия регистрационного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одновременной подачи заявления о подтверждении регистрации и внесении изменений в регистрационное досье лекарственных препаратов, процедуры подтверждения регистрации и внесения изменений проводятся одновременно, с внесением оплаты отдельно за каждую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подтверждении регистрации, независимо от срока действия регистрационного удостоверения, но не позднее последнего дня окончания срока действия регистрационного удостоверения, может быть подано заявителем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произведенные отечественными производителями;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преквалифицированные Всемирной организацией здравоохранения, при предоставлении копии документа, подтверждающего факт преквалификации;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имеющие регистрацию в Администрации по лекарственным средствам и пищевым продуктам США (FDA), Европейском агентстве по медицинским продуктам (ЕМА) (по централизованной процедуре), Агентстве по лекарственным средствам и продуктам медицинского назначения Японии (PMDA), Агентстве терапевтических продуктов Швейцарии (Swissmedic) и Агентстве по регулированию лекарственных средств и продуктов медицинского назначения Великобритании (</w:t>
      </w:r>
      <w:r>
        <w:rPr>
          <w:rFonts w:ascii="Arial" w:cs="Arial" w:eastAsia="Arial" w:hAnsi="Arial"/>
          <w:sz w:val="24"/>
          <w:szCs w:val="24"/>
        </w:rPr>
        <w:t xml:space="preserve">MHRA</w:t>
      </w:r>
      <w:r>
        <w:rPr>
          <w:rFonts w:ascii="Arial" w:cs="Arial" w:eastAsia="Arial" w:hAnsi="Arial"/>
          <w:sz w:val="24"/>
          <w:szCs w:val="24"/>
        </w:rPr>
        <w:t xml:space="preserve">), при предоставлении копии документа о регистрации и сопроводительного письма, с указанием ссылки на сайт.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Подтверждение государственной регистрации лекарственного средства осуществляется на основании переоценки соотношения "польза - риск", проводимой уполномоченным органом в течение 90 календарных дней со дня подачи заявителем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регистрации лекарственных средств, преквалифицированных Всемирной организацией здравоохранения, лекарственных средств, имеющих регистрацию в Администрации по лекарственным средствам и пищевым продуктам США (FDA), Европейском агентстве по медицинским продуктам (ЕМА) (по централизованной процедуре), Агентстве по лекарственным средствам и продуктам медицинского назначения Японии (PMDA), Агентстве терапевтических продуктов Швейцарии (Swissmedic) и Агентстве по регулированию лекарственных средств и продуктов медицинского назначения Великобритании (MHRA), а также лекарственных средств, произведенных отечественными производителями, осуществляется в течение 25 календарных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1hnmnglujdcelpco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dalil.kg/document/158067</w:t>
      </w:r>
    </w:hyperlink>
  </w:p>
  <w:p>
    <w:pPr>
      <w:spacing w:after="0" w:before="40"/>
      <w:jc w:val="center"/>
    </w:pPr>
    <w:hyperlink w:history="1" r:id="rIdnfq33ry2bduton-bsj-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wwi0eb7ah5jwwafwtcl" Type="http://schemas.openxmlformats.org/officeDocument/2006/relationships/hyperlink" Target="https://dalil.kg/document/230000286" TargetMode="External"/><Relationship Id="rIdp5di0nto6dm8vdn0kr3g9" Type="http://schemas.openxmlformats.org/officeDocument/2006/relationships/hyperlink" Target="https://dalil.kg/document/203685#st_10" TargetMode="External"/><Relationship Id="rIdhvplg_w_a8cqqhkang-np" Type="http://schemas.openxmlformats.org/officeDocument/2006/relationships/hyperlink" Target="https://dalil.kg/document/203685#st_17" TargetMode="External"/><Relationship Id="rIddl5h3pyybx-l_nytdts2k" Type="http://schemas.openxmlformats.org/officeDocument/2006/relationships/hyperlink" Target="https://dalil.kg/document/12314" TargetMode="External"/><Relationship Id="rIdmantmzg3vz28-fyfvbzbn" Type="http://schemas.openxmlformats.org/officeDocument/2006/relationships/hyperlink" Target="https://dalil.kg/document/12315" TargetMode="External"/><Relationship Id="rIdfiztakwz_x39kaxmnhgnk" Type="http://schemas.openxmlformats.org/officeDocument/2006/relationships/hyperlink" Target="https://dalil.kg/document/12314" TargetMode="External"/><Relationship Id="rIdgea4ev23yncifbczzibwe" Type="http://schemas.openxmlformats.org/officeDocument/2006/relationships/hyperlink" Target="https://dalil.kg/document/12315" TargetMode="External"/><Relationship Id="rIdrbzi2gowvdxho-sjts9af" Type="http://schemas.openxmlformats.org/officeDocument/2006/relationships/hyperlink" Target="https://dalil.kg/document/123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1hnmnglujdcelpconsi" Type="http://schemas.openxmlformats.org/officeDocument/2006/relationships/hyperlink" Target="https://dalil.kg/document/158067" TargetMode="External"/><Relationship Id="rIdnfq33ry2bduton-bsj-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2026-09-24T13:15:09.898Z</dcterms:created>
  <dcterms:modified xsi:type="dcterms:W3CDTF">2026-09-24T13:15:09.898Z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