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выдачи разрешительных и иных документов государственными органами и иными организациями для осуществления внешнеэкономической деятельности по принципу "единого окна"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3b0k3klf3tkujkyzh_ei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декабря 2023 года № 648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c9nflsfdcbqtshmyyo5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a61ybtjwn-zlelqstlu3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2026 года № 204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ypztc_cbcu72zjxhtk4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2026 года № 218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qjdeidzcgujd_vz6b5x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июня 2026 года № 427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выдачи разрешительных и иных документов государственными органами и иными организациями для осуществления внешнеэкономической деятельности по принципу "единого окна" (далее - Положение) разработано в целях оптимизации административных процедур по формированию информационной базы разрешительных и иных документов для осуществления внешнеэкономических операций.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экономики и коммерции Кыргызской Республики является уполномоченным государственным органом по реализации единой политики по продвижению принципа "единого окна" в сфере внешней торговли (далее - уполномоченный государственный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pdynuhdvhk8qzlvn0s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Положение является правовой основой для координации деятельности, информационного и иного взаимодействия при оформлении и выдаче документов для осуществления внешнеэкономической деятельности по принципу "единого окна" между Государственным предприятием "Центр "единого окна" в сфере внешней торговли" при уполномоченном государственном органе и ведомствами и организациями, участвующими в процессе оформления и выдачи документов, необходимых для осуществления внешнеэкономической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Особенности информационного обмена между ведомствами, имеющими собственные информационные системы по оформлению и выдаче документов, необходимых для осуществления внешнеэкономической деятельности, а также порядок их работы в информационной системе "единого окна" определяются на основе отдельных соглашений о порядке взаимодействия при оформлении документов для осуществления внешнеэкономической деятельности по принципу "единого окна" между ведомствами и Государственным предприятием "Центр "единого окна" в сфере внешней торговли" при уполномоченном государственном органе, а также внутренних регламентов работы ведомств.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Электронное межведомственное взаимодействие между информационной системой "единого окна" в сфере внешней торговли и информационными системами ведомств осуществляется посредством системы межведомственного электронного взаимодействия (далее - СМЭВ) "Тундук" в соответствии с Требованиями к взаимодействию информационных систем в системе межведомственного электронного взаимодействия "Тундук", утверждаемыми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Положение определяет, что доступ ведомств к информационной системе "единого окна" осуществляется по сети Интернет.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Термины и определения, используемые в Положении: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ГП ЦЕО</w:t>
      </w:r>
      <w:r>
        <w:rPr>
          <w:rFonts w:ascii="Arial" w:cs="Arial" w:eastAsia="Arial" w:hAnsi="Arial"/>
          <w:sz w:val="24"/>
          <w:szCs w:val="24"/>
        </w:rPr>
        <w:t xml:space="preserve"> - Государственное предприятие "Центр "единого окна" в сфере внешней торговли" при уполномоченном государственном органе;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ИСЕО</w:t>
      </w:r>
      <w:r>
        <w:rPr>
          <w:rFonts w:ascii="Arial" w:cs="Arial" w:eastAsia="Arial" w:hAnsi="Arial"/>
          <w:sz w:val="24"/>
          <w:szCs w:val="24"/>
        </w:rPr>
        <w:t xml:space="preserve"> - информационная система "единого окна" в сфере внешней торговли, представляющая собой комплекс программных, программно-аппаратных и аппаратных средств, методов и процедур, применяемых для составления, обработки, передачи, приема, хранения, проверки целостности электронных документов участниками взаимодействия в сфере внешнеэкономической и иной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участники взаимодействия</w:t>
      </w:r>
      <w:r>
        <w:rPr>
          <w:rFonts w:ascii="Arial" w:cs="Arial" w:eastAsia="Arial" w:hAnsi="Arial"/>
          <w:sz w:val="24"/>
          <w:szCs w:val="24"/>
        </w:rPr>
        <w:t xml:space="preserve"> - физические и юридические лица, независимо от организационно-правовой формы и формы собственности, ведомства, организации и ГП ЦЕО, действующие непосредственно от своего лица либо через своих представителей, осуществляющие взаимодействие в рамках внешнеэкономической и иной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ВЭД</w:t>
      </w:r>
      <w:r>
        <w:rPr>
          <w:rFonts w:ascii="Arial" w:cs="Arial" w:eastAsia="Arial" w:hAnsi="Arial"/>
          <w:sz w:val="24"/>
          <w:szCs w:val="24"/>
        </w:rPr>
        <w:t xml:space="preserve"> - внешнеэкономическая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ведомства и организации</w:t>
      </w:r>
      <w:r>
        <w:rPr>
          <w:rFonts w:ascii="Arial" w:cs="Arial" w:eastAsia="Arial" w:hAnsi="Arial"/>
          <w:sz w:val="24"/>
          <w:szCs w:val="24"/>
        </w:rPr>
        <w:t xml:space="preserve"> - государственные органы и организации, указанные в приложении к Положению, выдающие документы, необходимые для осуществления внешнеэкономической и иной деятельности, юридическим и физическим лицам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разрешительные документы</w:t>
      </w:r>
      <w:r>
        <w:rPr>
          <w:rFonts w:ascii="Arial" w:cs="Arial" w:eastAsia="Arial" w:hAnsi="Arial"/>
          <w:sz w:val="24"/>
          <w:szCs w:val="24"/>
        </w:rPr>
        <w:t xml:space="preserve"> - документы, необходимые для осуществления внешнеэкономической и иной деятельности, выдаваемые ведомствами и организациями в рамках их компетенции, перечисленные в приложении к настоящему Положению, которые для целей настоящего Положения разделяются на следующие виды: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порядок выдачи которых регулируется </w:t>
      </w:r>
      <w:hyperlink w:history="1" r:id="rIdbqgucfrkzw7slykkqfj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(далее - "лицензионно-разрешительные документы");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порядок выдачи которых регулируется иными нормативными правовыми актами Кыргызской Республики в сфере выдачи разрешительных документов: ветеринарный сертификат, сертификат соответствия, декларация о соответствии, сертификат о происхождении товара, фитосанитарный сертификат, акт карантинного фитосанитарного контроля, свидетельство о государственной регистрации продукции, разрешение на ввоз или вывоз и справка, подтверждающая принадлежность продукции, свидетельство о безопасности конструкции транспортного средства, экспертное заключение/разрешительный документ на экспорт и импорт товаров, включенных в единый Перечень товаров, к которым применяются меры нетарифного регулирования в торговле с третьими странами, </w:t>
      </w:r>
      <w:r>
        <w:rPr>
          <w:rFonts w:ascii="Arial" w:cs="Arial" w:eastAsia="Arial" w:hAnsi="Arial"/>
          <w:sz w:val="24"/>
          <w:szCs w:val="24"/>
        </w:rPr>
        <w:t xml:space="preserve">нотификация о характеристиках шифровальных (криптографических) средств и товаров, их содержащих</w:t>
      </w:r>
      <w:r>
        <w:rPr>
          <w:rFonts w:ascii="Arial" w:cs="Arial" w:eastAsia="Arial" w:hAnsi="Arial"/>
          <w:sz w:val="24"/>
          <w:szCs w:val="24"/>
        </w:rPr>
        <w:t xml:space="preserve"> (далее - "иные документы");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цифровой документ</w:t>
      </w:r>
      <w:r>
        <w:rPr>
          <w:rFonts w:ascii="Arial" w:cs="Arial" w:eastAsia="Arial" w:hAnsi="Arial"/>
          <w:sz w:val="24"/>
          <w:szCs w:val="24"/>
        </w:rPr>
        <w:t xml:space="preserve"> – цифровая запись, неизменность которой обеспечивается с помощью цифровой подписи или идентификатора, используемых в соответствии с правилами системы идентификации;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действующее непосредственно от своего имени либо через своего представителя, направляющее заявку на получение разрешительных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заявка</w:t>
      </w:r>
      <w:r>
        <w:rPr>
          <w:rFonts w:ascii="Arial" w:cs="Arial" w:eastAsia="Arial" w:hAnsi="Arial"/>
          <w:sz w:val="24"/>
          <w:szCs w:val="24"/>
        </w:rPr>
        <w:t xml:space="preserve"> - документ на бумажном носителе либо в форме электронного документа, подаваемый заявителем для получения разрешительных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сопроводительные документы</w:t>
      </w:r>
      <w:r>
        <w:rPr>
          <w:rFonts w:ascii="Arial" w:cs="Arial" w:eastAsia="Arial" w:hAnsi="Arial"/>
          <w:sz w:val="24"/>
          <w:szCs w:val="24"/>
        </w:rPr>
        <w:t xml:space="preserve"> - документы, прилагаемые к заявке на получение разрешительных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пользователь ИСЕО</w:t>
      </w:r>
      <w:r>
        <w:rPr>
          <w:rFonts w:ascii="Arial" w:cs="Arial" w:eastAsia="Arial" w:hAnsi="Arial"/>
          <w:sz w:val="24"/>
          <w:szCs w:val="24"/>
        </w:rPr>
        <w:t xml:space="preserve"> - уполномоченное участником взаимодействия лицо, зарегистрированное в ИСЕО;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учетная запись</w:t>
      </w:r>
      <w:r>
        <w:rPr>
          <w:rFonts w:ascii="Arial" w:cs="Arial" w:eastAsia="Arial" w:hAnsi="Arial"/>
          <w:sz w:val="24"/>
          <w:szCs w:val="24"/>
        </w:rPr>
        <w:t xml:space="preserve"> - хранимая в ИСЕО совокупность данных о пользователе, необходимая для его опознавания и предоставления доступа к его личным данным и настройкам, которая позволяет осуществлять действия в ИСЕО в рамках компетенции пользователя. Учетная запись создается путем регистрации участника взаимодействия в ИСЕО, в том числе с использованием Единой системы идентификации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средства уведомлений</w:t>
      </w:r>
      <w:r>
        <w:rPr>
          <w:rFonts w:ascii="Arial" w:cs="Arial" w:eastAsia="Arial" w:hAnsi="Arial"/>
          <w:sz w:val="24"/>
          <w:szCs w:val="24"/>
        </w:rPr>
        <w:t xml:space="preserve"> - средства ИСЕО, посредством которых производится информирование пользователя ИСЕО: отправка СМС-сообщений, сообщений на электронную почту, получение уведомлений;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ИСЕО</w:t>
      </w:r>
      <w:r>
        <w:rPr>
          <w:rFonts w:ascii="Arial" w:cs="Arial" w:eastAsia="Arial" w:hAnsi="Arial"/>
          <w:sz w:val="24"/>
          <w:szCs w:val="24"/>
        </w:rPr>
        <w:t xml:space="preserve"> - лицо, осуществляющее внесение сопроводительных документов и оформление заявки в ИСЕО, которым может выступать уполномоченное участником взаимодействия лицо, зарегистрированное в ИСЕО;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цифровая подпись</w:t>
      </w:r>
      <w:r>
        <w:rPr>
          <w:rFonts w:ascii="Arial" w:cs="Arial" w:eastAsia="Arial" w:hAnsi="Arial"/>
          <w:sz w:val="24"/>
          <w:szCs w:val="24"/>
        </w:rPr>
        <w:t xml:space="preserve"> – информация в цифровой форме, которая присоединена к другой информации в цифровой форме и (или) логически связана с ней и используется для обеспечения неизменности цифрового документа и определения автора цифрового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инструкция</w:t>
      </w:r>
      <w:r>
        <w:rPr>
          <w:rFonts w:ascii="Arial" w:cs="Arial" w:eastAsia="Arial" w:hAnsi="Arial"/>
          <w:sz w:val="24"/>
          <w:szCs w:val="24"/>
        </w:rPr>
        <w:t xml:space="preserve"> - документ о взаимодействии государственных органов, иных организаций и участников внешнеэкономической деятельности при оформлении разрешительных документов для осуществления внешнеэкономической деятельности по принципу "единого окна", утверждаемый уполномоченным государственным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типовой регламент</w:t>
      </w:r>
      <w:r>
        <w:rPr>
          <w:rFonts w:ascii="Arial" w:cs="Arial" w:eastAsia="Arial" w:hAnsi="Arial"/>
          <w:sz w:val="24"/>
          <w:szCs w:val="24"/>
        </w:rPr>
        <w:t xml:space="preserve"> - документ, описывающий порядок работы с электронными документами в рамках ИСЕО, разработанный и утвержденный уполномоченным государственным органом в целях оказания помощи ведомствам/организациям в разработке и создании регламента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регламент</w:t>
      </w:r>
      <w:r>
        <w:rPr>
          <w:rFonts w:ascii="Arial" w:cs="Arial" w:eastAsia="Arial" w:hAnsi="Arial"/>
          <w:sz w:val="24"/>
          <w:szCs w:val="24"/>
        </w:rPr>
        <w:t xml:space="preserve"> - документ, определяющий основные положения, касающиеся работы и ответственности сотрудников ведомств/организаций в ИСЕО, утверждаемый ведомством/организацией на основании Типового регламента.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принцип "единого окна</w:t>
      </w:r>
      <w:r>
        <w:rPr>
          <w:rFonts w:ascii="Arial" w:cs="Arial" w:eastAsia="Arial" w:hAnsi="Arial"/>
          <w:sz w:val="24"/>
          <w:szCs w:val="24"/>
        </w:rPr>
        <w:t xml:space="preserve">" - это механизм, который позволяет участникам внешнеэкономической деятельности однократно представлять документы в стандартизированном виде через единый пропускной канал для последующего использования заинтересованными государственными органами и иными организациями в соответствии с их компетенцией при проведении контроля за осуществлением внешнеэкономической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образ бумажного документа (электронный образ)</w:t>
      </w:r>
      <w:r>
        <w:rPr>
          <w:rFonts w:ascii="Arial" w:cs="Arial" w:eastAsia="Arial" w:hAnsi="Arial"/>
          <w:sz w:val="24"/>
          <w:szCs w:val="24"/>
        </w:rPr>
        <w:t xml:space="preserve"> - информация в электронной форме, представляющая собой сканированный или фотографический образ документа на бумажном носителе, преобразованный с помощью технических средств в электронную форму как единое целое, без внесения изменений в содержание сканируемого документа на бумажном носителе.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декабря 2023 года № 648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s66xd6d4baf6eyidmfr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-astyrl0tcushcn2ob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марта 2026 года № 204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Направление заявки и сопроводительных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Заявка может быть оформлена/направлена ведомству/организации следующими способами: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заявителем - в форме электронного документа, подписанного электронной подписью заявителя, через учетную запись в ИСЕО;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"оператором ИСЕО - в форме электронного документа, подписанного электронной подписью оператора ИСЕО, с прикреплением электронных образов сопроводительных документов, представленных заявителем на бумажном носителе. Представленные сопроводительные документы после оформления заявки возвращаются заявителю.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декабря 2023 года № 648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направления заявки на получение лицензионно-разрешительного документа осуществляется с учетом положений статей </w:t>
      </w:r>
      <w:hyperlink w:history="1" r:id="rIdawprflvtsg7hvjxfqtp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4yezvigienwkp9pyr9t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лицензионно-разрешительной системе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направлении заявки прилагаются сопроводительные документы. Перечень сопроводительных документов на получение разрешительных документов определяется в соответствии с законодательством Кыргызской Республики в области лицензионно-разрешительной системы и международными договорами, вступившими в силу в установленном законом порядке, участницей которых является Кыргызская Республика. Перечень необходимых сопроводительных документов доступен в ИСЕО при заполнении заявки. При наличии доступа из ИСЕО к электронным документам и сведениям других информационных систем посредством СМЭВ "Тундук", предоставление бумажных копий и их сканированных версий со стороны заявителя не требуется.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Заявка считается поданной после ее подписания с помощью электронной подписи и автоматического присвоения заявке регистрационного номера в ИСЕО.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Рассмотрение заявки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Ответственным исполнителем является сотрудник ведомства/организации, осуществляющий рассмотрение заявки.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Деятельность и правовой статус ответственного исполнителя регламентируются в соответствии с инструкцией и регламентом.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Рассмотрение всех поступающих заявок производится в порядке очередности, в зависимости от даты и времени подачи заявки, за исключением случаев, предусмотренных законодательством в области лицензионно-разрешительной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рассмотрении заявки на получение разрешительного документа, сотрудник ведомства/организации проверяет правильность заполнения заявки, наличие необходимых сопроводительных документов, определяемых ИСЕО, для выдачи документа для осуществления внешнеэкономической деятельности или основания отказа в регистрации заявки.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Заявитель представляет исчерпывающие данные по запросу ответственного исполнителя ведомства/организации в установленные регламентом ведомства/организации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Ведомство/организация в порядке, установленном регламентом, рассматривает заявки. При необходимости, ведомство/организация проводит согласование с другими государственными органами посредством ИСЕО.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 итогам рассмотрения заявки и прилагаемых к ней документов, ответственный исполнитель ведомства/организации оформляет разрешительный документ или отказ в его выдаче в форме электронного документа в соответствии с </w:t>
      </w:r>
      <w:r>
        <w:rPr>
          <w:rFonts w:ascii="Arial" w:cs="Arial" w:eastAsia="Arial" w:hAnsi="Arial"/>
          <w:sz w:val="24"/>
          <w:szCs w:val="24"/>
        </w:rPr>
        <w:t xml:space="preserve">главой 8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Структура и формат документа для осуществления внешнеэкономической деятельности в форме электронного документа определяются уполномоченными органами по выдаче соответствующих документов для осуществления внешнеэкономической деятельности по согласованию с ГП ЦЕО, согласно нормам </w:t>
      </w:r>
      <w:hyperlink w:history="1" r:id="rIdh3kv8mf7tfsk0jy8ppj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и нормативным правовым актам, регулирующим вопросы выдачи соответствующих документов.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Основания для отказа в регистрации заявки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Перечень оснований для отказа в регистрации заявки: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непредставление необходимых документов в соответствии с </w:t>
      </w:r>
      <w:hyperlink w:history="1" r:id="rIdb305vpy8plvqhqs09gl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и иными нормативными правовыми актами, регулирующими вопросы выдачи разрешительных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невнесение заявителем оплаты за подачу заявки и/или выдачу разрешительного документа в соответствии с </w:t>
      </w:r>
      <w:r>
        <w:rPr>
          <w:rFonts w:ascii="Arial" w:cs="Arial" w:eastAsia="Arial" w:hAnsi="Arial"/>
          <w:sz w:val="24"/>
          <w:szCs w:val="24"/>
        </w:rPr>
        <w:t xml:space="preserve">главой 8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декабря 2023 года № 648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недостоверных сведений в представленных документах.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Перечень оснований для отказа в регистрации заявки должен быть исчерпывающим. Не допускается отказ в регистрации заявки по любым другим основаниям, в том числе из-за направления заявки в форме электронного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Отказ в регистрации заявки по результатам предварительной проверки заполнения заявки и представленных заявителем документов производится в соответствии с пунктом 18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Обработка зарегистрированной заявки ведомством/организацией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Рассмотрение заявки ведомством/организацией в рамках ИСЕО производится согласно настоящему Положению, инструкции, регламенту, а также соглашению о порядке взаимодействия при оформлении разрешительных документов для осуществления внешнеэкономической деятельности по принципу "единого окна", заключаемому между ГП ЦЕО и ведомством/организацией.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Рассмотрение заявки на получение иного документа может быть приостановлено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проведении экспертизы или лабораторных испытаний;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направлении запроса в адрес заявителя о представлении дополнительной или недостающей информации, или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отсутствии оплаты за предоставление дополнительных услуг, включая лабораторные испытания. При этом, оплата за дополнительные услуги регламентируется соответствующими нормативными правовыми актами ведомств/организаций;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несоответствии продукции установленным требованиям, выявленном лабораторным испытанием.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Приостановление рассмотрения заявки на получение иного документа не препятствует рассмотрению других, позже поступивших заявок.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Выдача либо отказ в выдаче разрешительного документа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Выдача разрешительного документа либо отказ в его выдаче в ИСЕО производится в соответствии с инструкцией. Выдача либо отказ в выдаче лицензионно-разрешительного документа осуществляется с учетом положений статей </w:t>
      </w:r>
      <w:hyperlink w:history="1" r:id="rIdkxpbzkpyreegsjqamsm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ngj_3ywfvhrdbvqxgs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лицензионно-разрешительной системе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Заявитель вправе обжаловать отказ в выдаче разрешительного документа в порядке, установленном законодательством Кыргызской Республики в сфере административной деятельности и административных процедур.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Осуществление расчетов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Лицензионный сбор за выдачу лицензионно-разрешительного документа осуществляется в соответствии с законодательством о неналоговых платежах.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Оплата за услуги ведомств/организаций и ГП ЦЕО осуществляется на основании утвержденных в установленном порядке тарифов.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Заявитель производит оплату на основании выставленного счета на оплату ведомством/организацией и (или) ГП ЦЕО.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Заявитель вправе по своему усмотрению выбирать способ оплаты из перечня доступных способов оплаты, предусмотренных ИСЕО.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Порядок осуществления расчетов определяется в соответствии с инструкцией.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Порядок передачи справочной информации ведомствами/организациями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Ведомства/организации обязаны передавать ГП ЦЕО справочную информацию при любых изменениях. Перечень передаваемой справочной информации: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 услуг, оказываемых ведомством/организацией;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документов и сведений, необходимых для оказания услуг и выдачи разрешительных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расценки на оказываемые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организационная структура ведомства/организации, включая региональные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фамилии, имена, отчества руководителя и сотрудников ведомства/организации, принимающих участие в рассмотрении заявок, подготовке и выдаче разрешительных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Справочная информация должна постоянно поддерживаться ведомством/организацией и (или) ГП ЦЕО в актуальном состоянии.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Ответственность за своевременность и полноту передаваемой информации несут должностные лица ведомства/организации.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ГП ЦЕО обеспечивает размещение справочной информации, полученной от ведомств/организаций, в ИСЕО и (или) на официальном веб-сайте ГП ЦЕО и несет ответственность за правильность размещенной справочной информации ведомств/организаций.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Разрешительный документ в электронной форме обладает одинаковой юридической силой наравне с разрешительным документом, выданным на бумажном носителе.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Уполномоченный государственный орган в сфере таможенного дела при осуществлении таможенных операций обеспечивает принятие и использование электронных документов, выданных посредством ИСЕО.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Уполномоченный государственный орган в сфере таможенного дела, государственные органы в сфере реализации государственной политики в области аккредитации органов по оценке соответствия, а также государственные органы в сфере контроля и надзора за деятельностью ведомств/организаций обязаны при выполнении своих функций рассматривать электронные разрешительные документы, выданные посредством ИСЕО, наравне с разрешительными документами на бумажном носителе.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Не допускается установление каких-либо ограничений на применение электронных документов в деятельности ведомств/организаций при выдаче разрешительных документов, за исключением случаев, предусмотренных законодательством Кыргызской Республики в области лицензионно-разрешительной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ГП ЦЕО осуществляет функции по обеспечению защиты, хранения и конфиденциальности информации и данных, поступающих в ИСЕО, обеспечению технического сопровождения и поддержанию работоспособности ИСЕО. Внесение изменений в работу ИСЕО производится ГП ЦЕО.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Информация, используемая ГП ЦЕО, ведомствами/организациями в соответствии с настоящим Положением, может использоваться исключительно в служебных целях.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Сотрудники ведомств/организаций и ГП ЦЕО не вправе разглашать, использовать в личных целях информацию, составляющую служебную или коммерческую тайну.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За разглашение информации, являющейся служебной или коммерческой тайной, сотрудники ведомств/организаций и ГП ЦЕО несут ответственность в соответствии с уголовным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 порядке выдачи разрешительных и иных документов государственными органами и иными организациями для осуществления внешнеэкономической деятельности по принципу "единого окна"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
 ведомств/организаций, взаимодействующих при оформлении документов через информационную систему «Единое окно»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</w:t>
      </w:r>
      <w:hyperlink w:history="1" r:id="rId31owbi5bhunykbiilvx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30 марта 2026 года № 204,</w:t>
        </w:r>
      </w:hyperlink>
      <w:hyperlink w:history="1" r:id="rIdlc8uevugby7f0vm4m8mu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2026-жылдын 2-апрелиндеги № 218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ezlbqtd3juvlcqbei-o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июня 2026 года № 427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7"/>
        <w:gridCol w:w="2585"/>
        <w:gridCol w:w="7085"/>
        <w:gridCol w:w="1"/>
      </w:tblGrid>
      <w:tr>
        <w:tc>
          <w:tcPr>
            <w:tcW w:type="dxa" w:w="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ведомства/организации</w:t>
            </w:r>
          </w:p>
        </w:tc>
        <w:tc>
          <w:tcPr>
            <w:tcW w:type="dxa" w:w="70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выдаваемого или регистрируемого документа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7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экспорт/импорт товаров и услуг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экспорт/импорт товаров и услуг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на экспорт/импорт товаров и услуг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водных ресурсов, сельского хозяйства и перерабатывающей промышленности Кыргызской Республики</w:t>
            </w:r>
          </w:p>
        </w:tc>
        <w:tc>
          <w:tcPr>
            <w:tcW w:type="dxa" w:w="7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Ветеринарные сертификаты ЕАЭС форм 1, 2, 3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Ветеринарные сертификаты форм 5а, 5b, 5с, 5d, 5е, 5f, 5g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ввоз (импорт), вывоз (экспорт) и транзит через территорию Кыргызской Республики перемещаемых товаров, подконтрольных государственному ветеринарному контролю и надзору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Фитосанитарный сертификат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карантинного фитосанитарного контроля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на экспорт/импорт товаров и услуг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и инновационных технологий Кыргызской Республики</w:t>
            </w:r>
          </w:p>
        </w:tc>
        <w:tc>
          <w:tcPr>
            <w:tcW w:type="dxa" w:w="7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
 Кыргызской Республики</w:t>
            </w:r>
          </w:p>
        </w:tc>
        <w:tc>
          <w:tcPr>
            <w:tcW w:type="dxa" w:w="7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Справка, подтверждающая принадлежность продукции к лекарственным средствам и товарам медицинского назначения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о качестве лекарственного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о качестве и безопасности медицинского изделия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государственной регистрации продукции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Декларация о соответствии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экспорт/импорт органов тканей человека, крови и ее компонентов, образцов биологических материалов человека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на экспорт/импорт товаров и услуг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Торгово-промышленная палата Кыргызской Республики</w:t>
            </w:r>
          </w:p>
        </w:tc>
        <w:tc>
          <w:tcPr>
            <w:tcW w:type="dxa" w:w="7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о происхождении товара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Аккредитованные органы по сертификации продукции</w:t>
            </w:r>
          </w:p>
        </w:tc>
        <w:tc>
          <w:tcPr>
            <w:tcW w:type="dxa" w:w="7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 (обязательный)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 (добровольный)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Декларация о соответствии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Кабинете Министров Кыргызской Республики</w:t>
            </w:r>
          </w:p>
        </w:tc>
        <w:tc>
          <w:tcPr>
            <w:tcW w:type="dxa" w:w="7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производство и оборот этилового спирта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производство и оборот алкогольной продукции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7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ввоз в Кыргызскую Республику или вывоз за пределы Кыргызской Республики объектов животного и растительного мира, их частей или дериватов, подпадающих под действие конвенции CITES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на экспорт/импорт товаров и услуг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строительства, архитектуры и жилищно-коммунального хозяйства Кыргызской Республики</w:t>
            </w:r>
          </w:p>
        </w:tc>
        <w:tc>
          <w:tcPr>
            <w:tcW w:type="dxa" w:w="7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 (обязательный)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 (добровольный)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Декларация о соответствии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Экспертные организации/уполномоченные государственные органы</w:t>
            </w:r>
          </w:p>
        </w:tc>
        <w:tc>
          <w:tcPr>
            <w:tcW w:type="dxa" w:w="7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Экспертное заключение/разрешительный документ на экспорт и импорт товаров, включенных в Единый перечень товаров, к которым применяются меры нетарифного регулирования в торговле с третьими странами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Аккредитованные органы контроля</w:t>
            </w:r>
          </w:p>
        </w:tc>
        <w:tc>
          <w:tcPr>
            <w:tcW w:type="dxa" w:w="7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безопасности конструкции транспортного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7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на экспорт/импорт служебного гражданского оружия, его основных (составных) частей и патронов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или разрешение на ввоз/вывоз наркотических средств, психотропных веществ, их аналогов и прекурсоров, а также содержащих их живых организмов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или разрешение на транзит через территорию Кыргызской Республики наркотических средств, психотропных веществ, их аналогов и прекурсоров, а также содержащих их живых организмов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на экспорт/импорт наркотических средств, психотропных веществ, их аналогов и прекурсоров, а также содержащих их живых организмов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Аккредитованные испытательные лаборатории</w:t>
            </w:r>
          </w:p>
        </w:tc>
        <w:tc>
          <w:tcPr>
            <w:tcW w:type="dxa" w:w="7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 лабораторных испытаний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7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Нотификация о характеристиках шифровальных (криптографических) средств и товаров, их содержащих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lwdgifww9lsmmjsif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dalil.kg/document/158183</w:t>
      </w:r>
    </w:hyperlink>
  </w:p>
  <w:p>
    <w:pPr>
      <w:spacing w:after="0" w:before="40"/>
      <w:jc w:val="center"/>
    </w:pPr>
    <w:hyperlink w:history="1" r:id="rIdgaqqmvditchqyxhsspd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b0k3klf3tkujkyzh_ei_" Type="http://schemas.openxmlformats.org/officeDocument/2006/relationships/hyperlink" Target="https://dalil.kg/document/159433" TargetMode="External"/><Relationship Id="rIdsc9nflsfdcbqtshmyyo5d" Type="http://schemas.openxmlformats.org/officeDocument/2006/relationships/hyperlink" Target="https://dalil.kg/document/230016387" TargetMode="External"/><Relationship Id="rIda61ybtjwn-zlelqstlu3s" Type="http://schemas.openxmlformats.org/officeDocument/2006/relationships/hyperlink" Target="https://dalil.kg/document/230043474" TargetMode="External"/><Relationship Id="rId7ypztc_cbcu72zjxhtk4w" Type="http://schemas.openxmlformats.org/officeDocument/2006/relationships/hyperlink" Target="https://dalil.kg/document/230043905" TargetMode="External"/><Relationship Id="rIdxqjdeidzcgujd_vz6b5x7" Type="http://schemas.openxmlformats.org/officeDocument/2006/relationships/hyperlink" Target="https://dalil.kg/document/230047708" TargetMode="External"/><Relationship Id="rIdipdynuhdvhk8qzlvn0sdh" Type="http://schemas.openxmlformats.org/officeDocument/2006/relationships/hyperlink" Target="https://dalil.kg/document/159433" TargetMode="External"/><Relationship Id="rIdbqgucfrkzw7slykkqfjfa" Type="http://schemas.openxmlformats.org/officeDocument/2006/relationships/hyperlink" Target="https://dalil.kg/document/205058" TargetMode="External"/><Relationship Id="rIdss66xd6d4baf6eyidmfr7" Type="http://schemas.openxmlformats.org/officeDocument/2006/relationships/hyperlink" Target="https://dalil.kg/document/230016387" TargetMode="External"/><Relationship Id="rIdi-astyrl0tcushcn2obq0" Type="http://schemas.openxmlformats.org/officeDocument/2006/relationships/hyperlink" Target="https://dalil.kg/document/230043474" TargetMode="External"/><Relationship Id="rIdawprflvtsg7hvjxfqtpqz" Type="http://schemas.openxmlformats.org/officeDocument/2006/relationships/hyperlink" Target="https://dalil.kg/document/205058#st_18" TargetMode="External"/><Relationship Id="rId4yezvigienwkp9pyr9tvd" Type="http://schemas.openxmlformats.org/officeDocument/2006/relationships/hyperlink" Target="https://dalil.kg/document/205058#st_19" TargetMode="External"/><Relationship Id="rIdh3kv8mf7tfsk0jy8ppjby" Type="http://schemas.openxmlformats.org/officeDocument/2006/relationships/hyperlink" Target="https://dalil.kg/document/205058" TargetMode="External"/><Relationship Id="rIdb305vpy8plvqhqs09glpg" Type="http://schemas.openxmlformats.org/officeDocument/2006/relationships/hyperlink" Target="https://dalil.kg/document/205058" TargetMode="External"/><Relationship Id="rIdkxpbzkpyreegsjqamsm7k" Type="http://schemas.openxmlformats.org/officeDocument/2006/relationships/hyperlink" Target="https://dalil.kg/document/205058#st_20" TargetMode="External"/><Relationship Id="rIdnngj_3ywfvhrdbvqxgszl" Type="http://schemas.openxmlformats.org/officeDocument/2006/relationships/hyperlink" Target="https://dalil.kg/document/205058#st_21" TargetMode="External"/><Relationship Id="rId31owbi5bhunykbiilvxtv" Type="http://schemas.openxmlformats.org/officeDocument/2006/relationships/hyperlink" Target="https://dalil.kg/document/230043474" TargetMode="External"/><Relationship Id="rIdlc8uevugby7f0vm4m8mu6" Type="http://schemas.openxmlformats.org/officeDocument/2006/relationships/hyperlink" Target="https://dalil.kg/document/230043905" TargetMode="External"/><Relationship Id="rId0ezlbqtd3juvlcqbei-ol" Type="http://schemas.openxmlformats.org/officeDocument/2006/relationships/hyperlink" Target="https://dalil.kg/document/230047708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lwdgifww9lsmmjsifmm" Type="http://schemas.openxmlformats.org/officeDocument/2006/relationships/hyperlink" Target="https://dalil.kg/document/158183" TargetMode="External"/><Relationship Id="rIdgaqqmvditchqyxhsspd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2026-09-24T14:38:35.169Z</dcterms:created>
  <dcterms:modified xsi:type="dcterms:W3CDTF">2026-09-24T14:38:35.169Z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