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19 апреля 2021 года № 153</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саморегулируемых организациях"</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x47hp2sxyrft47skk8d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cranqzqamabi93g0tddz">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саморегулируемых организациях", инициированный группой депутатов Жогорку Кенеша Кыргызской Республики.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У.Марипов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19 апреля 2021 года № 153</w:t>
      </w:r>
    </w:p>
    <w:p>
      <w:pPr>
        <w:spacing w:after="240" w:before="2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саморегулируемых организациях"</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fg81qotxibrqks-gqd8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саморегулируемых организациях" (далее - проект Закона), приходит к следующему заключению.</w:t>
      </w:r>
    </w:p>
    <w:p>
      <w:pPr>
        <w:spacing w:after="120"/>
        <w:jc w:val="both"/>
      </w:pPr>
      <w:r>
        <w:rPr>
          <w:rFonts w:ascii="Arial" w:cs="Arial" w:eastAsia="Arial" w:hAnsi="Arial"/>
          <w:sz w:val="24"/>
          <w:szCs w:val="24"/>
        </w:rPr>
        <w:t xml:space="preserve">1. В соответствии с частью 2 статьи 1 проекта Закона нормы законодательства, содержащиеся в других законах и иных нормативных правовых актах и касающиеся сферы деятельности данного Закона, должны соответствовать данному Закону. В случае возникновения коллизий между данным Законом и другими законами применяются нормы данного Закона.</w:t>
      </w:r>
    </w:p>
    <w:p>
      <w:pPr>
        <w:spacing w:after="120"/>
        <w:jc w:val="both"/>
      </w:pPr>
      <w:r>
        <w:rPr>
          <w:rFonts w:ascii="Arial" w:cs="Arial" w:eastAsia="Arial" w:hAnsi="Arial"/>
          <w:sz w:val="24"/>
          <w:szCs w:val="24"/>
        </w:rPr>
        <w:t xml:space="preserve">Вследствие этого отмечаем, что в рамках реализации Основных направлений развития сектора микрофинансирования на 2018-2021 годы Национальным банком Кыргызской Республики (далее - Национальный банк) совместно с Ассоциацией микрофинансовых организаций рассматривается возможность внедрения саморегулируемых организаций для небанковских финансово-кредитных организаций, осуществляющих свою деятельность за счет собственных средств. На данном этапе изучается международный опыт по деятельности саморегулируемых организаций при финансово-кредитных организациях.</w:t>
      </w:r>
    </w:p>
    <w:p>
      <w:pPr>
        <w:spacing w:after="120"/>
        <w:jc w:val="both"/>
      </w:pPr>
      <w:r>
        <w:rPr>
          <w:rFonts w:ascii="Arial" w:cs="Arial" w:eastAsia="Arial" w:hAnsi="Arial"/>
          <w:sz w:val="24"/>
          <w:szCs w:val="24"/>
        </w:rPr>
        <w:t xml:space="preserve">В этой связи, а также учитывая специфические риски, связанные с обеспечением безопасности в финансово-кредитной сфере, в статье 1 проекта Закона считаем необходимым предусмотреть, что порядок учреждения, осуществления и прекращения деятельности саморегулируемых организаций, учреждаемых финансово-кредитными организациями и иными юридическими лицами, поднадзорными Национальному банку, должна соответствовать данному Закону в той части, которая не противоречит банковскому законодательству, регулирующему их деятельность.</w:t>
      </w:r>
    </w:p>
    <w:p>
      <w:pPr>
        <w:spacing w:after="120"/>
        <w:jc w:val="both"/>
      </w:pPr>
      <w:r>
        <w:rPr>
          <w:rFonts w:ascii="Arial" w:cs="Arial" w:eastAsia="Arial" w:hAnsi="Arial"/>
          <w:sz w:val="24"/>
          <w:szCs w:val="24"/>
        </w:rPr>
        <w:t xml:space="preserve">2. Учитывая специфику деятельности поднадзорных Национальному банку субъектов, а также статус Национального банка в качестве органа надзора и регулирования и независимость Национального банка, для исключения возможности возникновения коллизий нормативных правовых актов либо пробелов в законодательстве, в проекте Закона необходимо предусмотреть, что для саморегулируемых организаций в сфере деятельности, которая является поднадзорной и регулируемой Национальным банком, уполномоченным органом должен выступать Национальный банк и наделить Национальный банк соответствующими нормотворческими полномочиями по регулированию деятельности таких саморегулируемых организаций.</w:t>
      </w:r>
    </w:p>
    <w:p>
      <w:pPr>
        <w:spacing w:after="120"/>
        <w:jc w:val="both"/>
      </w:pPr>
      <w:r>
        <w:rPr>
          <w:rFonts w:ascii="Arial" w:cs="Arial" w:eastAsia="Arial" w:hAnsi="Arial"/>
          <w:sz w:val="24"/>
          <w:szCs w:val="24"/>
        </w:rPr>
        <w:t xml:space="preserve">3. В связи с тем, что содержание определения "регулирующие государственные органы" в статье 2 проекта Закона дублирует наименование определения, а также во избежание тавтологии предлагаем пересмотреть содержание указанного определения. Так, формулировку "осуществляющие руководство" рекомендуем заменить словами "осуществляющие контроль и надзор" по аналогии с требованиями статьи 17 проекта Закона.</w:t>
      </w:r>
    </w:p>
    <w:p>
      <w:pPr>
        <w:spacing w:after="120"/>
        <w:jc w:val="both"/>
      </w:pPr>
      <w:r>
        <w:rPr>
          <w:rFonts w:ascii="Arial" w:cs="Arial" w:eastAsia="Arial" w:hAnsi="Arial"/>
          <w:sz w:val="24"/>
          <w:szCs w:val="24"/>
        </w:rPr>
        <w:t xml:space="preserve">4. В связи с тем, что вопросы государственно-частного партнерства не относятся к предмету регулирования представленного проекта Закона, абзац восьмой части 1 статьи 2 проекта Закона предлагаем изложить в следующей редакции:</w:t>
      </w:r>
    </w:p>
    <w:p>
      <w:pPr>
        <w:spacing w:after="120"/>
        <w:jc w:val="both"/>
      </w:pPr>
      <w:r>
        <w:rPr>
          <w:rFonts w:ascii="Arial" w:cs="Arial" w:eastAsia="Arial" w:hAnsi="Arial"/>
          <w:sz w:val="24"/>
          <w:szCs w:val="24"/>
        </w:rPr>
        <w:t xml:space="preserve">"уполномоченный орган в лицензионно-разрешительной сфере (далее - уполномоченный орган) - центральный орган исполнительной власти, разрабатывающий единую государственную политику регулирования предпринимательской деятельности в лицензионно-разрешительной и контрольно-надзорной сферах".</w:t>
      </w:r>
    </w:p>
    <w:p>
      <w:pPr>
        <w:spacing w:after="120"/>
        <w:jc w:val="both"/>
      </w:pPr>
      <w:r>
        <w:rPr>
          <w:rFonts w:ascii="Arial" w:cs="Arial" w:eastAsia="Arial" w:hAnsi="Arial"/>
          <w:sz w:val="24"/>
          <w:szCs w:val="24"/>
        </w:rPr>
        <w:t xml:space="preserve">5. В целях обеспечения добросовестной конкурентной среды на товарных рынках, защиты прав потребителей предлагаем:</w:t>
      </w:r>
    </w:p>
    <w:p>
      <w:pPr>
        <w:spacing w:after="120"/>
        <w:jc w:val="both"/>
      </w:pPr>
      <w:r>
        <w:rPr>
          <w:rFonts w:ascii="Arial" w:cs="Arial" w:eastAsia="Arial" w:hAnsi="Arial"/>
          <w:sz w:val="24"/>
          <w:szCs w:val="24"/>
        </w:rPr>
        <w:t xml:space="preserve">- пункт 3 части 1 статьи 3 изложить в следующей редакции:</w:t>
      </w:r>
    </w:p>
    <w:p>
      <w:pPr>
        <w:spacing w:after="120"/>
        <w:jc w:val="both"/>
      </w:pPr>
      <w:r>
        <w:rPr>
          <w:rFonts w:ascii="Arial" w:cs="Arial" w:eastAsia="Arial" w:hAnsi="Arial"/>
          <w:sz w:val="24"/>
          <w:szCs w:val="24"/>
        </w:rPr>
        <w:t xml:space="preserve">"3) исключение усиления монополизма на рынке, недопущение недобросовестной конкуренции и ограничения свободы предпринимательской деятельности;";</w:t>
      </w:r>
    </w:p>
    <w:p>
      <w:pPr>
        <w:spacing w:after="120"/>
        <w:jc w:val="both"/>
      </w:pPr>
      <w:r>
        <w:rPr>
          <w:rFonts w:ascii="Arial" w:cs="Arial" w:eastAsia="Arial" w:hAnsi="Arial"/>
          <w:sz w:val="24"/>
          <w:szCs w:val="24"/>
        </w:rPr>
        <w:t xml:space="preserve">- пункт 1 части 2 статьи 6 изложить в следующей редакции:</w:t>
      </w:r>
    </w:p>
    <w:p>
      <w:pPr>
        <w:spacing w:after="120"/>
        <w:jc w:val="both"/>
      </w:pPr>
      <w:r>
        <w:rPr>
          <w:rFonts w:ascii="Arial" w:cs="Arial" w:eastAsia="Arial" w:hAnsi="Arial"/>
          <w:sz w:val="24"/>
          <w:szCs w:val="24"/>
        </w:rPr>
        <w:t xml:space="preserve">"1) требования, препятствующие злоупотреблению доминирующим положением на рынке, недобросовестной конкуренции, совершению действий, причиняющих моральный вред или ущерб потребителям товаров (работ, услуг) и иным лицам;".</w:t>
      </w:r>
    </w:p>
    <w:p>
      <w:pPr>
        <w:spacing w:after="120"/>
        <w:jc w:val="both"/>
      </w:pPr>
      <w:r>
        <w:rPr>
          <w:rFonts w:ascii="Arial" w:cs="Arial" w:eastAsia="Arial" w:hAnsi="Arial"/>
          <w:sz w:val="24"/>
          <w:szCs w:val="24"/>
        </w:rPr>
        <w:t xml:space="preserve">6. Согласно пункту 4 части 1 статьи 3 проекта Закона одним из основных принципов саморегулирования является отмена лицензирования при формировании профессиональных саморегулируемых организаций соответствующего вида предпринимательской деятельности.</w:t>
      </w:r>
    </w:p>
    <w:p>
      <w:pPr>
        <w:spacing w:after="120"/>
        <w:jc w:val="both"/>
      </w:pPr>
      <w:r>
        <w:rPr>
          <w:rFonts w:ascii="Arial" w:cs="Arial" w:eastAsia="Arial" w:hAnsi="Arial"/>
          <w:sz w:val="24"/>
          <w:szCs w:val="24"/>
        </w:rPr>
        <w:t xml:space="preserve">Необходимо отметить, что статьей 15 </w:t>
      </w:r>
      <w:hyperlink w:history="1" r:id="rIdiemmkffkgbaidlbphel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установлен исчерпывающий перечень видов деятельности, подлежащих лицензированию.</w:t>
      </w:r>
    </w:p>
    <w:p>
      <w:pPr>
        <w:spacing w:after="120"/>
        <w:jc w:val="both"/>
      </w:pPr>
      <w:r>
        <w:rPr>
          <w:rFonts w:ascii="Arial" w:cs="Arial" w:eastAsia="Arial" w:hAnsi="Arial"/>
          <w:sz w:val="24"/>
          <w:szCs w:val="24"/>
        </w:rPr>
        <w:t xml:space="preserve">При этом согласно пункту 3 части 1 статьи 16 проекта Закона саморегулируемая организация осуществляет контроль соблюдения участниками требований законодательства Кыргызской Республики в сфере лицензионно-разрешительной системы.</w:t>
      </w:r>
    </w:p>
    <w:p>
      <w:pPr>
        <w:spacing w:after="120"/>
        <w:jc w:val="both"/>
      </w:pPr>
      <w:r>
        <w:rPr>
          <w:rFonts w:ascii="Arial" w:cs="Arial" w:eastAsia="Arial" w:hAnsi="Arial"/>
          <w:sz w:val="24"/>
          <w:szCs w:val="24"/>
        </w:rPr>
        <w:t xml:space="preserve">В соответствии со статьей 1 </w:t>
      </w:r>
      <w:hyperlink w:history="1" r:id="rIdh9bajbukccvgyrflsgmi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лицензирование отдельных видов деятельности, действий и операций осуществляется в целях предотвращения нанесения вреда жизни, здоровью людей, окружающей среде, собственности, общественной и государственной безопасности, а также управления ограниченными государственными ресурсами.</w:t>
      </w:r>
    </w:p>
    <w:p>
      <w:pPr>
        <w:spacing w:after="120"/>
        <w:jc w:val="both"/>
      </w:pPr>
      <w:r>
        <w:rPr>
          <w:rFonts w:ascii="Arial" w:cs="Arial" w:eastAsia="Arial" w:hAnsi="Arial"/>
          <w:sz w:val="24"/>
          <w:szCs w:val="24"/>
        </w:rPr>
        <w:t xml:space="preserve">Во избежание широкой трактовки в правоприменительной практике, а также ввиду отсутствия в пункте 4 части 1 статьи 3 проекта Закона исчерпывающего перечня видов предпринимательской деятельности, которые будут осуществляться без лицензии, с учетом статьи 1 Закона Кыргызской Республики "О лицензионно-разрешительной системе в Кыргызской Республике", а также выполнения обязательств в рамках международных договоров, участницей которых является Кыргызская Республика, предлагаем исключить пункт 4 части 1 статьи 3 проекта Закона, а также в пункте 3 части 1 статьи 16 проекта Закона исключить слова "в сфере лицензионно-разрешительной системы".</w:t>
      </w:r>
    </w:p>
    <w:p>
      <w:pPr>
        <w:spacing w:after="120"/>
        <w:jc w:val="both"/>
      </w:pPr>
      <w:r>
        <w:rPr>
          <w:rFonts w:ascii="Arial" w:cs="Arial" w:eastAsia="Arial" w:hAnsi="Arial"/>
          <w:sz w:val="24"/>
          <w:szCs w:val="24"/>
        </w:rPr>
        <w:t xml:space="preserve">7. В пункте 6 части 1 статьи 3 проекта Закона указано, что одним из основных принципов саморегулирования является осуществление контроля за деятельностью профессиональных саморегулируемых организаций исключительно за счет средств республиканского бюджета.</w:t>
      </w:r>
    </w:p>
    <w:p>
      <w:pPr>
        <w:spacing w:after="120"/>
        <w:jc w:val="both"/>
      </w:pPr>
      <w:r>
        <w:rPr>
          <w:rFonts w:ascii="Arial" w:cs="Arial" w:eastAsia="Arial" w:hAnsi="Arial"/>
          <w:sz w:val="24"/>
          <w:szCs w:val="24"/>
        </w:rPr>
        <w:t xml:space="preserve">Также в статье 17 проекта Закона обозначено, что государственный контроль и надзор за деятельностью саморегулируемых организаций осуществляются путем проверок и профилактического контроля и надзора. Уполномоченный орган и регулирующие государственные органы при осуществлении государственного контроля и надзора за участником саморегулируемой организации, основанной на добровольном участии, учитывают факт наличия такого участия в системе оценки рисков.</w:t>
      </w:r>
    </w:p>
    <w:p>
      <w:pPr>
        <w:spacing w:after="120"/>
        <w:jc w:val="both"/>
      </w:pPr>
      <w:r>
        <w:rPr>
          <w:rFonts w:ascii="Arial" w:cs="Arial" w:eastAsia="Arial" w:hAnsi="Arial"/>
          <w:sz w:val="24"/>
          <w:szCs w:val="24"/>
        </w:rPr>
        <w:t xml:space="preserve">Кроме того, в пункте 2 статьи 7 проекта Закона изложено, что ведение отчетности саморегулируемых организаций подлежит обязательному аудиту.</w:t>
      </w:r>
    </w:p>
    <w:p>
      <w:pPr>
        <w:spacing w:after="120"/>
        <w:jc w:val="both"/>
      </w:pPr>
      <w:r>
        <w:rPr>
          <w:rFonts w:ascii="Arial" w:cs="Arial" w:eastAsia="Arial" w:hAnsi="Arial"/>
          <w:sz w:val="24"/>
          <w:szCs w:val="24"/>
        </w:rPr>
        <w:t xml:space="preserve">В справке-обосновании к проекту Закона отмечено, что принятие данного проекта Закона не повлечет выделения дополнительных средств из государственного бюджета.</w:t>
      </w:r>
    </w:p>
    <w:p>
      <w:pPr>
        <w:spacing w:after="120"/>
        <w:jc w:val="both"/>
      </w:pPr>
      <w:r>
        <w:rPr>
          <w:rFonts w:ascii="Arial" w:cs="Arial" w:eastAsia="Arial" w:hAnsi="Arial"/>
          <w:sz w:val="24"/>
          <w:szCs w:val="24"/>
        </w:rPr>
        <w:t xml:space="preserve">Между тем предлагаемые проектом Закона новые функции уполномоченного органа и регулирующих государственных органов, связанные с проведением государственного контроля и надзора за деятельностью саморегулируемых организаций, могут потребовать выделения дополнительных финансовых и кадровых ресурсов.</w:t>
      </w:r>
    </w:p>
    <w:p>
      <w:pPr>
        <w:spacing w:after="120"/>
        <w:jc w:val="both"/>
      </w:pPr>
      <w:r>
        <w:rPr>
          <w:rFonts w:ascii="Arial" w:cs="Arial" w:eastAsia="Arial" w:hAnsi="Arial"/>
          <w:sz w:val="24"/>
          <w:szCs w:val="24"/>
        </w:rPr>
        <w:t xml:space="preserve">В этой связи отмечаем, что согласно части 4 статьи 31 конституционного </w:t>
      </w:r>
      <w:hyperlink w:history="1" r:id="rId6po-r57qjd4mokjqef_j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jc w:val="both"/>
      </w:pPr>
      <w:r>
        <w:rPr>
          <w:rFonts w:ascii="Arial" w:cs="Arial" w:eastAsia="Arial" w:hAnsi="Arial"/>
          <w:sz w:val="24"/>
          <w:szCs w:val="24"/>
        </w:rPr>
        <w:t xml:space="preserve">Согласно части 1 статьи 26 </w:t>
      </w:r>
      <w:hyperlink w:history="1" r:id="rId_91pyotnby7dv71bebu2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В соответствии с частью 2 статьи 5 Бюджетного </w:t>
      </w:r>
      <w:hyperlink w:history="1" r:id="rIdpg3tfksblu37yah1ahp4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проекты законов об изменении финансовых обязательств государства, об увеличении расходов бюджета, финансируемых из республиканского бюджета, либо о сокращении его ресурсов принимаются только с согласия Правительства.</w:t>
      </w:r>
    </w:p>
    <w:p>
      <w:pPr>
        <w:spacing w:after="120"/>
        <w:jc w:val="both"/>
      </w:pPr>
      <w:r>
        <w:rPr>
          <w:rFonts w:ascii="Arial" w:cs="Arial" w:eastAsia="Arial" w:hAnsi="Arial"/>
          <w:sz w:val="24"/>
          <w:szCs w:val="24"/>
        </w:rPr>
        <w:t xml:space="preserve">8. Поскольку нормы статей 4 и 14 проекта Закона дублируют друг друга, предлагаем объединить их.</w:t>
      </w:r>
    </w:p>
    <w:p>
      <w:pPr>
        <w:spacing w:after="120"/>
        <w:jc w:val="both"/>
      </w:pPr>
      <w:r>
        <w:rPr>
          <w:rFonts w:ascii="Arial" w:cs="Arial" w:eastAsia="Arial" w:hAnsi="Arial"/>
          <w:sz w:val="24"/>
          <w:szCs w:val="24"/>
        </w:rPr>
        <w:t xml:space="preserve">Также согласно проекту Закона не ясно, возможно ли функционирование двух и более саморегулируемых организаций в одной и той же предпринимательской или профессиональной деятельности.</w:t>
      </w:r>
    </w:p>
    <w:p>
      <w:pPr>
        <w:spacing w:after="120"/>
        <w:jc w:val="both"/>
      </w:pPr>
      <w:r>
        <w:rPr>
          <w:rFonts w:ascii="Arial" w:cs="Arial" w:eastAsia="Arial" w:hAnsi="Arial"/>
          <w:sz w:val="24"/>
          <w:szCs w:val="24"/>
        </w:rPr>
        <w:t xml:space="preserve">9. В соответствии со статьей 22 </w:t>
      </w:r>
      <w:hyperlink w:history="1" r:id="rIdn2grywcu67uas7bbbv5n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В связи с этим, предлагаем пункт 2 части 1 статьи 5 проекта Закона изложить в следующей редакции:</w:t>
      </w:r>
    </w:p>
    <w:p>
      <w:pPr>
        <w:spacing w:after="120"/>
        <w:jc w:val="both"/>
      </w:pPr>
      <w:r>
        <w:rPr>
          <w:rFonts w:ascii="Arial" w:cs="Arial" w:eastAsia="Arial" w:hAnsi="Arial"/>
          <w:sz w:val="24"/>
          <w:szCs w:val="24"/>
        </w:rPr>
        <w:t xml:space="preserve">"2) вносить предложения в государственные органы по проектам нормативных правовых актов, затрагивающим права и законные интересы субъектов саморегулирования;".</w:t>
      </w:r>
    </w:p>
    <w:p>
      <w:pPr>
        <w:spacing w:after="120"/>
        <w:jc w:val="both"/>
      </w:pPr>
      <w:r>
        <w:rPr>
          <w:rFonts w:ascii="Arial" w:cs="Arial" w:eastAsia="Arial" w:hAnsi="Arial"/>
          <w:sz w:val="24"/>
          <w:szCs w:val="24"/>
        </w:rPr>
        <w:t xml:space="preserve">10. Согласно пункту 3 части 5 статьи 4 проекта Закона, саморегулируемые организации осуществляют функции по разработке и установлению обязательных для своих участников правил и стандартов предпринимательской или профессиональной деятельности.</w:t>
      </w:r>
    </w:p>
    <w:p>
      <w:pPr>
        <w:spacing w:after="120"/>
        <w:jc w:val="both"/>
      </w:pPr>
      <w:r>
        <w:rPr>
          <w:rFonts w:ascii="Arial" w:cs="Arial" w:eastAsia="Arial" w:hAnsi="Arial"/>
          <w:sz w:val="24"/>
          <w:szCs w:val="24"/>
        </w:rPr>
        <w:t xml:space="preserve">Вместе с тем, в соответствии с пунктом 6 статьи 76 Договора о Евразийском экономическом союзе от 29 мая 2014 года некоммерческим организациям запрещается осуществлять координацию экономической деятельности хозяйствующих субъектов (субъектов рынка) государств-членов, если такая координация приводит или может привести к любому из последствий, согласно пунктам 3 и 4 указанной статьи.</w:t>
      </w:r>
    </w:p>
    <w:p>
      <w:pPr>
        <w:spacing w:after="120"/>
        <w:jc w:val="both"/>
      </w:pPr>
      <w:r>
        <w:rPr>
          <w:rFonts w:ascii="Arial" w:cs="Arial" w:eastAsia="Arial" w:hAnsi="Arial"/>
          <w:sz w:val="24"/>
          <w:szCs w:val="24"/>
        </w:rPr>
        <w:t xml:space="preserve">В связи с изложенным, предлагаем дополнить статью 5 проекта Закона частью, запрещающей саморегулируемым организациям осуществлять действия, которые могут привести к:</w:t>
      </w:r>
    </w:p>
    <w:p>
      <w:pPr>
        <w:spacing w:after="120"/>
        <w:jc w:val="both"/>
      </w:pPr>
      <w:r>
        <w:rPr>
          <w:rFonts w:ascii="Arial" w:cs="Arial" w:eastAsia="Arial" w:hAnsi="Arial"/>
          <w:sz w:val="24"/>
          <w:szCs w:val="24"/>
        </w:rPr>
        <w:t xml:space="preserve">1) установлению или поддержанию цен (тарифов), скидок, надбавок (доплат), наценок;</w:t>
      </w:r>
    </w:p>
    <w:p>
      <w:pPr>
        <w:spacing w:after="120"/>
        <w:jc w:val="both"/>
      </w:pPr>
      <w:r>
        <w:rPr>
          <w:rFonts w:ascii="Arial" w:cs="Arial" w:eastAsia="Arial" w:hAnsi="Arial"/>
          <w:sz w:val="24"/>
          <w:szCs w:val="24"/>
        </w:rPr>
        <w:t xml:space="preserve">2) повышению, снижению или поддержанию цен на торгах;</w:t>
      </w:r>
    </w:p>
    <w:p>
      <w:pPr>
        <w:spacing w:after="120"/>
        <w:jc w:val="both"/>
      </w:pPr>
      <w:r>
        <w:rPr>
          <w:rFonts w:ascii="Arial" w:cs="Arial" w:eastAsia="Arial" w:hAnsi="Arial"/>
          <w:sz w:val="24"/>
          <w:szCs w:val="24"/>
        </w:rPr>
        <w:t xml:space="preserve">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pPr>
        <w:spacing w:after="120"/>
        <w:jc w:val="both"/>
      </w:pPr>
      <w:r>
        <w:rPr>
          <w:rFonts w:ascii="Arial" w:cs="Arial" w:eastAsia="Arial" w:hAnsi="Arial"/>
          <w:sz w:val="24"/>
          <w:szCs w:val="24"/>
        </w:rPr>
        <w:t xml:space="preserve">4) сокращению или прекращению производства товаров;</w:t>
      </w:r>
    </w:p>
    <w:p>
      <w:pPr>
        <w:spacing w:after="120"/>
        <w:jc w:val="both"/>
      </w:pPr>
      <w:r>
        <w:rPr>
          <w:rFonts w:ascii="Arial" w:cs="Arial" w:eastAsia="Arial" w:hAnsi="Arial"/>
          <w:sz w:val="24"/>
          <w:szCs w:val="24"/>
        </w:rPr>
        <w:t xml:space="preserve">5) отказу от заключения договоров с определенными продавцами либо покупателями (заказчиками).</w:t>
      </w:r>
    </w:p>
    <w:p>
      <w:pPr>
        <w:spacing w:after="120"/>
        <w:jc w:val="both"/>
      </w:pPr>
      <w:r>
        <w:rPr>
          <w:rFonts w:ascii="Arial" w:cs="Arial" w:eastAsia="Arial" w:hAnsi="Arial"/>
          <w:sz w:val="24"/>
          <w:szCs w:val="24"/>
        </w:rPr>
        <w:t xml:space="preserve">При этом полагаем необходимым в статье 4 проекта Закона отразить получение у уполномоченного государственного органа предварительного согласования инициатив по делегированию определенных функций, выполняемых государственными органами, саморегулируемым организациям, основанным на обязательном участии.</w:t>
      </w:r>
    </w:p>
    <w:p>
      <w:pPr>
        <w:spacing w:after="120"/>
        <w:jc w:val="both"/>
      </w:pPr>
      <w:r>
        <w:rPr>
          <w:rFonts w:ascii="Arial" w:cs="Arial" w:eastAsia="Arial" w:hAnsi="Arial"/>
          <w:sz w:val="24"/>
          <w:szCs w:val="24"/>
        </w:rPr>
        <w:t xml:space="preserve">11. При этом разрабатываемые согласно пункту 3 части 5 статьи 4 проекта Закона саморегулируемой организацией обязательные для ее участников правила и стандарты предпринимательской или профессиональной деятельности должны быть не ниже стандартов, установленных соответствующим законодательством.</w:t>
      </w:r>
    </w:p>
    <w:p>
      <w:pPr>
        <w:spacing w:after="120"/>
        <w:jc w:val="both"/>
      </w:pPr>
      <w:r>
        <w:rPr>
          <w:rFonts w:ascii="Arial" w:cs="Arial" w:eastAsia="Arial" w:hAnsi="Arial"/>
          <w:sz w:val="24"/>
          <w:szCs w:val="24"/>
        </w:rPr>
        <w:t xml:space="preserve">В связи с чем, пункт 3 части 5 статьи 4 проекта Закона предлагаем изложить в следующей редакции:</w:t>
      </w:r>
    </w:p>
    <w:p>
      <w:pPr>
        <w:spacing w:after="120"/>
        <w:jc w:val="both"/>
      </w:pPr>
      <w:r>
        <w:rPr>
          <w:rFonts w:ascii="Arial" w:cs="Arial" w:eastAsia="Arial" w:hAnsi="Arial"/>
          <w:sz w:val="24"/>
          <w:szCs w:val="24"/>
        </w:rPr>
        <w:t xml:space="preserve">"3) разрабатывает и устанавливает обязательные для своих участников правила и стандарты предпринимательской или профессиональной деятельности, которые должны соответствовать законодательству Кыргызской Республики в соответствующих сферах экономической деятельности;".</w:t>
      </w:r>
    </w:p>
    <w:p>
      <w:pPr>
        <w:spacing w:after="120"/>
        <w:jc w:val="both"/>
      </w:pPr>
      <w:r>
        <w:rPr>
          <w:rFonts w:ascii="Arial" w:cs="Arial" w:eastAsia="Arial" w:hAnsi="Arial"/>
          <w:sz w:val="24"/>
          <w:szCs w:val="24"/>
        </w:rPr>
        <w:t xml:space="preserve">Кроме того, ввиду осуществления руководства в отдельной отрасли или сфере государственного управления регулирующими государственными органами (согласно абзацу пятому части 1 статьи 2 проекта Закона), предлагаем в части 5 статьи 6 проекта Закона предусмотреть, что правила и стандарты саморегулируемых организаций в сфере предпринимательской деятельности, основанных на обязательном участии, до их утверждения направляются в регулирующие государственные органы для согласования.</w:t>
      </w:r>
    </w:p>
    <w:p>
      <w:pPr>
        <w:spacing w:after="120"/>
        <w:jc w:val="both"/>
      </w:pPr>
      <w:r>
        <w:rPr>
          <w:rFonts w:ascii="Arial" w:cs="Arial" w:eastAsia="Arial" w:hAnsi="Arial"/>
          <w:sz w:val="24"/>
          <w:szCs w:val="24"/>
        </w:rPr>
        <w:t xml:space="preserve">12. Привлечение к ответственности участников саморегулируемой организации согласно пункту 4 части 5 статьи 4 проекта Закона должно быть разделено:</w:t>
      </w:r>
    </w:p>
    <w:p>
      <w:pPr>
        <w:spacing w:after="120"/>
        <w:jc w:val="both"/>
      </w:pPr>
      <w:r>
        <w:rPr>
          <w:rFonts w:ascii="Arial" w:cs="Arial" w:eastAsia="Arial" w:hAnsi="Arial"/>
          <w:sz w:val="24"/>
          <w:szCs w:val="24"/>
        </w:rPr>
        <w:t xml:space="preserve">- за нарушения требований устава саморегулируемой организации - данной организацией;</w:t>
      </w:r>
    </w:p>
    <w:p>
      <w:pPr>
        <w:spacing w:after="120"/>
        <w:jc w:val="both"/>
      </w:pPr>
      <w:r>
        <w:rPr>
          <w:rFonts w:ascii="Arial" w:cs="Arial" w:eastAsia="Arial" w:hAnsi="Arial"/>
          <w:sz w:val="24"/>
          <w:szCs w:val="24"/>
        </w:rPr>
        <w:t xml:space="preserve">- за нарушения правил и стандартов, требований законодательства - в порядке, установленном гражданским законодательством, а также уполномоченными государственными органами.</w:t>
      </w:r>
    </w:p>
    <w:p>
      <w:pPr>
        <w:spacing w:after="120"/>
        <w:jc w:val="both"/>
      </w:pPr>
      <w:r>
        <w:rPr>
          <w:rFonts w:ascii="Arial" w:cs="Arial" w:eastAsia="Arial" w:hAnsi="Arial"/>
          <w:sz w:val="24"/>
          <w:szCs w:val="24"/>
        </w:rPr>
        <w:t xml:space="preserve">В связи с чем, пункт 4 части 5 статьи 4 проекта Закона предлагаем изложить в следующей редакции:</w:t>
      </w:r>
    </w:p>
    <w:p>
      <w:pPr>
        <w:spacing w:after="120"/>
        <w:jc w:val="both"/>
      </w:pPr>
      <w:r>
        <w:rPr>
          <w:rFonts w:ascii="Arial" w:cs="Arial" w:eastAsia="Arial" w:hAnsi="Arial"/>
          <w:sz w:val="24"/>
          <w:szCs w:val="24"/>
        </w:rPr>
        <w:t xml:space="preserve">"4) привлекает к ответственности участников саморегулируемой организации за нарушения требований устава и иных внутренних документов саморегулируемой организации;".</w:t>
      </w:r>
    </w:p>
    <w:p>
      <w:pPr>
        <w:spacing w:after="120"/>
        <w:jc w:val="both"/>
      </w:pPr>
      <w:r>
        <w:rPr>
          <w:rFonts w:ascii="Arial" w:cs="Arial" w:eastAsia="Arial" w:hAnsi="Arial"/>
          <w:sz w:val="24"/>
          <w:szCs w:val="24"/>
        </w:rPr>
        <w:t xml:space="preserve">При этом также отмечаем, что в целях обеспечения законности и прозрачности деятельности саморегулируемых организаций, меры ответственности членов саморегулируемых организаций необходимо предусмотреть в проекте закона, а не в уставе или в правилах и стандартах (пункт 3 части 2 статьи 6 проекта Закона), так как названные документы не имеют нормативно-правового характера и могут быть подвержены постоянным изменениям.</w:t>
      </w:r>
    </w:p>
    <w:p>
      <w:pPr>
        <w:spacing w:after="120"/>
        <w:jc w:val="both"/>
      </w:pPr>
      <w:r>
        <w:rPr>
          <w:rFonts w:ascii="Arial" w:cs="Arial" w:eastAsia="Arial" w:hAnsi="Arial"/>
          <w:sz w:val="24"/>
          <w:szCs w:val="24"/>
        </w:rPr>
        <w:t xml:space="preserve">13. Согласно проекту Закона, саморегулируемые организации осуществляют функции по разработке и установлению правил и стандартов предпринимательской или профессиональной деятельности. В целях осуществления саморегулируемыми организациями эффективной и качественной деятельности предлагаем установить минимальные критерии, которым должны будут соответствовать указанные стандарты и правила.</w:t>
      </w:r>
    </w:p>
    <w:p>
      <w:pPr>
        <w:spacing w:after="120"/>
        <w:jc w:val="both"/>
      </w:pPr>
      <w:r>
        <w:rPr>
          <w:rFonts w:ascii="Arial" w:cs="Arial" w:eastAsia="Arial" w:hAnsi="Arial"/>
          <w:sz w:val="24"/>
          <w:szCs w:val="24"/>
        </w:rPr>
        <w:t xml:space="preserve">14. В проекте Закона представлен перечень органов управления саморегулируемой организации. Однако отсутствует четкое и эффективное распределение полномочий и функциональных обязанностей между указанными органами. В частности, нет конкретной обособленности и независимости, а также механизмов подотчетности. На практике указанные положения могут привести к противоречивым ситуациям. Таким образом, предлагаем положения проекта Закона в части органов управления саморегулируемой организации установить с учетом необходимости соблюдения баланса при осуществлении ими своих полномочий.</w:t>
      </w:r>
    </w:p>
    <w:p>
      <w:pPr>
        <w:spacing w:after="120"/>
        <w:jc w:val="both"/>
      </w:pPr>
      <w:r>
        <w:rPr>
          <w:rFonts w:ascii="Arial" w:cs="Arial" w:eastAsia="Arial" w:hAnsi="Arial"/>
          <w:sz w:val="24"/>
          <w:szCs w:val="24"/>
        </w:rPr>
        <w:t xml:space="preserve">15. В проекте закона отсутствуют вопросы контроля и надзора за участником саморегулируемой организации. В этой связи предлагаем часть 2 статьи 6 дополнить абзацем следующего содержания:</w:t>
      </w:r>
    </w:p>
    <w:p>
      <w:pPr>
        <w:spacing w:after="120"/>
        <w:jc w:val="both"/>
      </w:pPr>
      <w:r>
        <w:rPr>
          <w:rFonts w:ascii="Arial" w:cs="Arial" w:eastAsia="Arial" w:hAnsi="Arial"/>
          <w:sz w:val="24"/>
          <w:szCs w:val="24"/>
        </w:rPr>
        <w:t xml:space="preserve">"4) порядок обеспечения контроля и надзора за участником саморегулируемой организации.".</w:t>
      </w:r>
    </w:p>
    <w:p>
      <w:pPr>
        <w:spacing w:after="120"/>
        <w:jc w:val="both"/>
      </w:pPr>
      <w:r>
        <w:rPr>
          <w:rFonts w:ascii="Arial" w:cs="Arial" w:eastAsia="Arial" w:hAnsi="Arial"/>
          <w:sz w:val="24"/>
          <w:szCs w:val="24"/>
        </w:rPr>
        <w:t xml:space="preserve">16. В части 2 статьи 7 представлены требования по обязательному аудиту финансовой отчетности саморегулируемых организаций. Предлагаем дополнить проект Закона требованиями к обязательному аудиту.</w:t>
      </w:r>
    </w:p>
    <w:p>
      <w:pPr>
        <w:spacing w:after="120"/>
        <w:jc w:val="both"/>
      </w:pPr>
      <w:r>
        <w:rPr>
          <w:rFonts w:ascii="Arial" w:cs="Arial" w:eastAsia="Arial" w:hAnsi="Arial"/>
          <w:sz w:val="24"/>
          <w:szCs w:val="24"/>
        </w:rPr>
        <w:t xml:space="preserve">17. В статье 8 указано, что саморегулируемые организации создаются по инициативе не менее 10 субъектов предпринимательской или не менее 20 субъектов профессиональной деятельности. При этом для саморегулируемых организаций, участие в которых будет обязательным, считаем необходимым рассмотреть вопрос о том, каким образом такая саморегулируемая организация будет создана, на случай если субъекты предпринимательской или профессиональной деятельности не будут инициировать вопрос создания саморегулируемой организации.</w:t>
      </w:r>
    </w:p>
    <w:p>
      <w:pPr>
        <w:spacing w:after="120"/>
        <w:jc w:val="both"/>
      </w:pPr>
      <w:r>
        <w:rPr>
          <w:rFonts w:ascii="Arial" w:cs="Arial" w:eastAsia="Arial" w:hAnsi="Arial"/>
          <w:sz w:val="24"/>
          <w:szCs w:val="24"/>
        </w:rPr>
        <w:t xml:space="preserve">18. В части 12 статьи 11 проекта Закона предлагается уточнить, может ли ликвидационная комиссия инициировать созыв внеочередного общего собрания участников саморегулируемой организации.</w:t>
      </w:r>
    </w:p>
    <w:p>
      <w:pPr>
        <w:spacing w:after="120"/>
        <w:jc w:val="both"/>
      </w:pPr>
      <w:r>
        <w:rPr>
          <w:rFonts w:ascii="Arial" w:cs="Arial" w:eastAsia="Arial" w:hAnsi="Arial"/>
          <w:sz w:val="24"/>
          <w:szCs w:val="24"/>
        </w:rPr>
        <w:t xml:space="preserve">19. Необходимо исключить дублирование одних и тех же полномочий общего собрания участников и коллегиального органа по утверждению правил и стандартов саморегулируемых организаций в пункте 11 части 3 статьи 10 и в пункте 1 части 7 статьи 12 проекта Закона.</w:t>
      </w:r>
    </w:p>
    <w:p>
      <w:pPr>
        <w:spacing w:after="120"/>
        <w:jc w:val="both"/>
      </w:pPr>
      <w:r>
        <w:rPr>
          <w:rFonts w:ascii="Arial" w:cs="Arial" w:eastAsia="Arial" w:hAnsi="Arial"/>
          <w:sz w:val="24"/>
          <w:szCs w:val="24"/>
        </w:rPr>
        <w:t xml:space="preserve">20. Частью 2 статьи 18 проекта Закона предлагается поручить Правительству Кыргызской Республики в шестимесячный срок привести свои нормативные правовые акты в соответствие с настоящим Законом. Однако частью 1 названной статьи проекта Закона предлагается установить, что Закон вступит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В соответствии со статьей 24 </w:t>
      </w:r>
      <w:hyperlink w:history="1" r:id="rIdsuer_oc1viiwbmlr91o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в справке-обосновании к законопроекту.</w:t>
      </w:r>
    </w:p>
    <w:p>
      <w:pPr>
        <w:spacing w:after="120"/>
        <w:jc w:val="both"/>
      </w:pPr>
      <w:r>
        <w:rPr>
          <w:rFonts w:ascii="Arial" w:cs="Arial" w:eastAsia="Arial" w:hAnsi="Arial"/>
          <w:sz w:val="24"/>
          <w:szCs w:val="24"/>
        </w:rPr>
        <w:t xml:space="preserve">В случае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Закона, в целях устранения правового вакуума между Законом и подзаконными актами.</w:t>
      </w:r>
    </w:p>
    <w:p>
      <w:pPr>
        <w:spacing w:after="120"/>
        <w:jc w:val="both"/>
      </w:pPr>
      <w:r>
        <w:rPr>
          <w:rFonts w:ascii="Arial" w:cs="Arial" w:eastAsia="Arial" w:hAnsi="Arial"/>
          <w:sz w:val="24"/>
          <w:szCs w:val="24"/>
        </w:rPr>
        <w:t xml:space="preserve">При этом, если по итогам анализа нормативных правовых актов Правительства Кыргызской Республики, не будут выявлены решения, подлежащие пересмотру или принятию в связи с принятием данного проекта, часть 2 статьи 18 представленного законопроекта необходимо исключить.</w:t>
      </w:r>
    </w:p>
    <w:p>
      <w:pPr>
        <w:spacing w:after="120"/>
        <w:jc w:val="both"/>
      </w:pPr>
      <w:r>
        <w:rPr>
          <w:rFonts w:ascii="Arial" w:cs="Arial" w:eastAsia="Arial" w:hAnsi="Arial"/>
          <w:sz w:val="24"/>
          <w:szCs w:val="24"/>
        </w:rPr>
        <w:t xml:space="preserve">21. Ряд формулировок в проекте Закона предлагаем привести в соответствие с </w:t>
      </w:r>
      <w:hyperlink w:history="1" r:id="rId58rlxblpiaiatm0mov4s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с </w:t>
      </w:r>
      <w:hyperlink w:history="1" r:id="rIdvbdmrfwdzps6gfrgouwnz">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ef-kiikabtprvnrfb5u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22. Согласно справке-обоснованию к проекту Закона, проведен анализ регулятивного воздействия к законопроекту в соответствии с Методикой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dvpjtntcffd1agrdjny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однако на экспертизу анализа регулятивного воздействия не представлен.</w:t>
      </w:r>
    </w:p>
    <w:p>
      <w:pPr>
        <w:spacing w:after="120"/>
        <w:jc w:val="both"/>
      </w:pPr>
      <w:r>
        <w:rPr>
          <w:rFonts w:ascii="Arial" w:cs="Arial" w:eastAsia="Arial" w:hAnsi="Arial"/>
          <w:sz w:val="24"/>
          <w:szCs w:val="24"/>
        </w:rPr>
        <w:t xml:space="preserve">23. Предлагаем привести в соответствие последовательность порядковой нумерации статей законопроекта, а также устранить разночтения в редакциях на официальном и государственном языках.</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концепцию проекта Закона "О саморегулируемых организациях" и считает необходимым учесть вышеуказанные предложения.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5_novh3h3xabslg6pya">
      <w:r>
        <w:rPr>
          <w:rFonts w:ascii="Arial" w:cs="Arial" w:eastAsia="Arial" w:hAnsi="Arial"/>
          <w:color w:val="132D3F"/>
          <w:sz w:val="16"/>
          <w:szCs w:val="16"/>
          <w:u w:val="single"/>
        </w:rPr>
        <w:t xml:space="preserve">dalil.kg/document/158206</w:t>
      </w:r>
    </w:hyperlink>
  </w:p>
  <w:p>
    <w:pPr>
      <w:spacing w:after="0" w:before="40"/>
      <w:jc w:val="center"/>
    </w:pPr>
    <w:hyperlink w:history="1" r:id="rIdvpfqvcceqhybm6lsxjo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47hp2sxyrft47skk8dpt" Type="http://schemas.openxmlformats.org/officeDocument/2006/relationships/hyperlink" Target="https://dalil.kg/document/203685" TargetMode="External"/><Relationship Id="rId-cranqzqamabi93g0tddz" Type="http://schemas.openxmlformats.org/officeDocument/2006/relationships/hyperlink" Target="https://dalil.kg/document/158206#p1" TargetMode="External"/><Relationship Id="rIdfg81qotxibrqks-gqd8gn" Type="http://schemas.openxmlformats.org/officeDocument/2006/relationships/hyperlink" Target="https://dalil.kg/document/203685" TargetMode="External"/><Relationship Id="rIdiemmkffkgbaidlbphelrn" Type="http://schemas.openxmlformats.org/officeDocument/2006/relationships/hyperlink" Target="https://dalil.kg/document/205058" TargetMode="External"/><Relationship Id="rIdh9bajbukccvgyrflsgmig" Type="http://schemas.openxmlformats.org/officeDocument/2006/relationships/hyperlink" Target="https://dalil.kg/document/205058" TargetMode="External"/><Relationship Id="rId6po-r57qjd4mokjqef_j8" Type="http://schemas.openxmlformats.org/officeDocument/2006/relationships/hyperlink" Target="https://dalil.kg/document/203685" TargetMode="External"/><Relationship Id="rId_91pyotnby7dv71bebu2z" Type="http://schemas.openxmlformats.org/officeDocument/2006/relationships/hyperlink" Target="https://dalil.kg/document/202591" TargetMode="External"/><Relationship Id="rIdpg3tfksblu37yah1ahp42" Type="http://schemas.openxmlformats.org/officeDocument/2006/relationships/hyperlink" Target="https://dalil.kg/document/111338" TargetMode="External"/><Relationship Id="rIdn2grywcu67uas7bbbv5n3" Type="http://schemas.openxmlformats.org/officeDocument/2006/relationships/hyperlink" Target="https://dalil.kg/document/202591" TargetMode="External"/><Relationship Id="rIdsuer_oc1viiwbmlr91ozf" Type="http://schemas.openxmlformats.org/officeDocument/2006/relationships/hyperlink" Target="https://dalil.kg/document/202591" TargetMode="External"/><Relationship Id="rId58rlxblpiaiatm0mov4s3" Type="http://schemas.openxmlformats.org/officeDocument/2006/relationships/hyperlink" Target="https://dalil.kg/document/202591" TargetMode="External"/><Relationship Id="rIdvbdmrfwdzps6gfrgouwnz" Type="http://schemas.openxmlformats.org/officeDocument/2006/relationships/hyperlink" Target="https://dalil.kg/document/76491" TargetMode="External"/><Relationship Id="rIdef-kiikabtprvnrfb5ucs" Type="http://schemas.openxmlformats.org/officeDocument/2006/relationships/hyperlink" Target="https://dalil.kg/document/76490" TargetMode="External"/><Relationship Id="rIddvpjtntcffd1agrdjnyrt" Type="http://schemas.openxmlformats.org/officeDocument/2006/relationships/hyperlink" Target="https://dalil.kg/document/97018"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5_novh3h3xabslg6pya" Type="http://schemas.openxmlformats.org/officeDocument/2006/relationships/hyperlink" Target="https://dalil.kg/document/158206" TargetMode="External"/><Relationship Id="rIdvpfqvcceqhybm6lsxjo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2026-10-01T08:04:21.775Z</dcterms:created>
  <dcterms:modified xsi:type="dcterms:W3CDTF">2026-10-01T08:04:21.775Z</dcterms:modified>
</cp:coreProperties>
</file>

<file path=docProps/custom.xml><?xml version="1.0" encoding="utf-8"?>
<Properties xmlns="http://schemas.openxmlformats.org/officeDocument/2006/custom-properties" xmlns:vt="http://schemas.openxmlformats.org/officeDocument/2006/docPropsVTypes"/>
</file>