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7 июня 2021 года № 22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переводе (трансформации) земель, расположенных на участке Бор-Тумшук Кашка-Суйского айылного аймака Чон-Алайского района Ошской области Кыргызской Республики, из категории "Земли сельскохозяйственного назначения" в категорию "Земли населенных пунктов"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расширения территории населенных пунктов Кашка-Суйского айылного аймака Чон-Алайского района Ошской области Кыргызской Республики, в соответствии со статьями </w:t>
      </w:r>
      <w:hyperlink w:history="1" r:id="rIdn_w4wycnf9n6lzlzgv_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i7wpooje2zwdbjihuej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 статьями </w:t>
      </w:r>
      <w:hyperlink w:history="1" r:id="rId_0nq78oimvii4kt1lfv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5norgowxjrstienp6nt9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Республики", </w:t>
      </w:r>
      <w:hyperlink w:history="1" r:id="rId6bmrjvzd88xnyq6b7fu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переводе (трансформации) земельных участков", принимая во внимание заключение полномочного представителя Правительства Кыргызской Республики в Ошской области Кыргызской Республики от 26 апреля 2021 года № 03/473, распоряжение государственной администрации Чон-Алайского района Ошской области Кыргызской Республики от 21 мая 2021 года № 95,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(трансформировать) 40 га пастбищ, находящихся в государственной собственности, расположенных на участке Бор-Тумшук Кашка-Суйского айылного аймака Чон-Алайского района Ошской области Кыргызской Республики в контурах № 1376 (23,1 га) и № 1396 (16,9 га), из категории "Земли сельскохозяйственного назначения" в категорию "Земли населенных пунктов", для строительства индивидуальных жилых домов.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администрации Чон-Алайского района Ошской области Кыргызской Республики обеспечить: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соответствующих изменений в земельно-учетную документацию;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земель, указанных в пункте</w:t>
      </w:r>
      <w:r>
        <w:rPr>
          <w:rFonts w:ascii="Arial" w:cs="Arial" w:eastAsia="Arial" w:hAnsi="Arial"/>
          <w:sz w:val="24"/>
          <w:szCs w:val="24"/>
        </w:rPr>
        <w:t xml:space="preserve"> 1 </w:t>
      </w:r>
      <w:r>
        <w:rPr>
          <w:rFonts w:ascii="Arial" w:cs="Arial" w:eastAsia="Arial" w:hAnsi="Arial"/>
          <w:sz w:val="24"/>
          <w:szCs w:val="24"/>
        </w:rPr>
        <w:t xml:space="preserve">настоящего постановления, по целевому назначению.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первого заместителя Председателя Кабинета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15 июня 2021 года № 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ytvc9rnvxlm-rd4odnb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dalil.kg/document/158280</w:t>
      </w:r>
    </w:hyperlink>
  </w:p>
  <w:p>
    <w:pPr>
      <w:spacing w:after="0" w:before="40"/>
      <w:jc w:val="center"/>
    </w:pPr>
    <w:hyperlink w:history="1" r:id="rId3rburqrfh1x3qj2by23n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_w4wycnf9n6lzlzgv_oc" Type="http://schemas.openxmlformats.org/officeDocument/2006/relationships/hyperlink" Target="https://dalil.kg/document/8#st_4" TargetMode="External"/><Relationship Id="rIdi7wpooje2zwdbjihuejas" Type="http://schemas.openxmlformats.org/officeDocument/2006/relationships/hyperlink" Target="https://dalil.kg/document/8#st_20" TargetMode="External"/><Relationship Id="rId_0nq78oimvii4kt1lfvlp" Type="http://schemas.openxmlformats.org/officeDocument/2006/relationships/hyperlink" Target="https://dalil.kg/document/203685#st_10" TargetMode="External"/><Relationship Id="rId5norgowxjrstienp6nt9b" Type="http://schemas.openxmlformats.org/officeDocument/2006/relationships/hyperlink" Target="https://dalil.kg/document/203685#st_17" TargetMode="External"/><Relationship Id="rId6bmrjvzd88xnyq6b7fugz" Type="http://schemas.openxmlformats.org/officeDocument/2006/relationships/hyperlink" Target="https://dalil.kg/document/203953#st_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ytvc9rnvxlm-rd4odnba" Type="http://schemas.openxmlformats.org/officeDocument/2006/relationships/hyperlink" Target="https://dalil.kg/document/158280" TargetMode="External"/><Relationship Id="rId3rburqrfh1x3qj2by23n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2026-10-01T06:01:29.716Z</dcterms:created>
  <dcterms:modified xsi:type="dcterms:W3CDTF">2026-10-01T06:01:29.716Z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