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16 августа 2021 года № 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государств-членов Евразийского экономического союза в указанной сфере</w:t>
      </w:r>
    </w:p>
    <w:p>
      <w:pPr>
        <w:spacing w:after="120"/>
        <w:jc w:val="both"/>
      </w:pPr>
      <w:r>
        <w:rPr>
          <w:rFonts w:ascii="Arial" w:cs="Arial" w:eastAsia="Arial" w:hAnsi="Arial"/>
          <w:sz w:val="24"/>
          <w:szCs w:val="24"/>
        </w:rPr>
        <w:t xml:space="preserve">г.Москва, от 16 февраля 2021 года</w:t>
      </w:r>
    </w:p>
    <w:p>
      <w:pPr>
        <w:spacing w:after="120"/>
        <w:jc w:val="both"/>
      </w:pPr>
      <w:r>
        <w:rPr>
          <w:rFonts w:ascii="Arial" w:cs="Arial" w:eastAsia="Arial" w:hAnsi="Arial"/>
          <w:sz w:val="24"/>
          <w:szCs w:val="24"/>
        </w:rPr>
        <w:t xml:space="preserve">Государства-члены Евразийского экономического союза, именуемые в дальнейшем государствами-членами,</w:t>
      </w:r>
    </w:p>
    <w:p>
      <w:pPr>
        <w:spacing w:after="120"/>
        <w:jc w:val="both"/>
      </w:pPr>
      <w:r>
        <w:rPr>
          <w:rFonts w:ascii="Arial" w:cs="Arial" w:eastAsia="Arial" w:hAnsi="Arial"/>
          <w:sz w:val="24"/>
          <w:szCs w:val="24"/>
        </w:rPr>
        <w:t xml:space="preserve">в соответствии с абзацем вторым пункта 4</w:t>
      </w:r>
      <w:hyperlink w:history="1" r:id="rIdmtnnz13niinmfvktz6nrw">
        <w:r>
          <w:rPr>
            <w:rFonts w:ascii="Arial" w:cs="Arial" w:eastAsia="Arial" w:hAnsi="Arial"/>
            <w:color w:val="1D4ED8"/>
            <w:sz w:val="24"/>
            <w:szCs w:val="24"/>
            <w:u w:val="single"/>
          </w:rPr>
          <w:t xml:space="preserve"> статьи 53</w:t>
        </w:r>
      </w:hyperlink>
      <w:r>
        <w:rPr>
          <w:rFonts w:ascii="Arial" w:cs="Arial" w:eastAsia="Arial" w:hAnsi="Arial"/>
          <w:sz w:val="24"/>
          <w:szCs w:val="24"/>
        </w:rPr>
        <w:t xml:space="preserve"> Договора о Евразийском экономическом союзе от 29 мая 2014 года,</w:t>
      </w:r>
    </w:p>
    <w:p>
      <w:pPr>
        <w:spacing w:after="120"/>
        <w:jc w:val="both"/>
      </w:pPr>
      <w:r>
        <w:rPr>
          <w:rFonts w:ascii="Arial" w:cs="Arial" w:eastAsia="Arial" w:hAnsi="Arial"/>
          <w:sz w:val="24"/>
          <w:szCs w:val="24"/>
        </w:rPr>
        <w:t xml:space="preserve">признавая необходимость сближения законодательства государств-членов в сфере государственного контроля (надзора) за соблюдением требований технических регламентов Евразийского экономического союза (далее - Союз),</w:t>
      </w:r>
    </w:p>
    <w:p>
      <w:pPr>
        <w:spacing w:after="120"/>
        <w:jc w:val="both"/>
      </w:pPr>
      <w:r>
        <w:rPr>
          <w:rFonts w:ascii="Arial" w:cs="Arial" w:eastAsia="Arial" w:hAnsi="Arial"/>
          <w:sz w:val="24"/>
          <w:szCs w:val="24"/>
        </w:rPr>
        <w:t xml:space="preserve">придавая важное значение производству и обращению на территориях государств-членов безопасной продукции,</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Настоящее Соглашение определяет принципы и подходы осуществления в государствах-членах государственного контроля (надзора) за соблюдением требований технических регламентов Союза (далее - государственный контроль (надзор)) в целях гармонизации законодательства государств-членов в указанной сфере.</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Соблюдение юридическими лицами и физическими лицами, зарегистрированными в качестве индивидуальных предпринимателей (далее - индивидуальные предприниматели), обязательных требований, установленных техническими регламентами Союза в отношении продукции и (или)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(далее - стадии жизненного цикла продукции), подлежит государственному контролю (надзору).</w:t>
      </w:r>
    </w:p>
    <w:p>
      <w:pPr>
        <w:spacing w:after="120"/>
        <w:jc w:val="both"/>
      </w:pPr>
      <w:r>
        <w:rPr>
          <w:rFonts w:ascii="Arial" w:cs="Arial" w:eastAsia="Arial" w:hAnsi="Arial"/>
          <w:sz w:val="24"/>
          <w:szCs w:val="24"/>
        </w:rPr>
        <w:t xml:space="preserve">Ответственность за несоблюдение требований технических регламентов Союза в зависимости от стадии жизненного цикла продукции несут юридические лица или индивидуальные предприниматели, в том числе изготовители, уполномоченные изготовителем лица, импортеры и продавцы, осуществляющие производство и (или) оценку соответствия объектов технического регулирования, и (или) выпуск в обращение, и (или) реализацию продукции, а также органы по оценке соответствия (в том числе органы по сертификации, испытательные лаборатории (центры)), осуществляющие оценку соответствия объектов технического регулирования требованиям технических регламентов Союза, в соответствии с законодательством государств-членов.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Государственный контроль (надзор) проводится органами государственного контроля (надзора) государств-членов, уполномоченными в соответствии с законодательством государств-членов (далее - органы государственного контроля (надзора)), на основе следующих принципов:</w:t>
      </w:r>
    </w:p>
    <w:p>
      <w:pPr>
        <w:spacing w:after="120"/>
        <w:jc w:val="both"/>
      </w:pPr>
      <w:r>
        <w:rPr>
          <w:rFonts w:ascii="Arial" w:cs="Arial" w:eastAsia="Arial" w:hAnsi="Arial"/>
          <w:sz w:val="24"/>
          <w:szCs w:val="24"/>
        </w:rPr>
        <w:t xml:space="preserve">презумпция добросовестности юридических лиц и индивидуальных предпринимателей;</w:t>
      </w:r>
    </w:p>
    <w:p>
      <w:pPr>
        <w:spacing w:after="120"/>
        <w:jc w:val="both"/>
      </w:pPr>
      <w:r>
        <w:rPr>
          <w:rFonts w:ascii="Arial" w:cs="Arial" w:eastAsia="Arial" w:hAnsi="Arial"/>
          <w:sz w:val="24"/>
          <w:szCs w:val="24"/>
        </w:rPr>
        <w:t xml:space="preserve">гласность деятельности органов государственного контроля (надзора);</w:t>
      </w:r>
    </w:p>
    <w:p>
      <w:pPr>
        <w:spacing w:after="120"/>
        <w:jc w:val="both"/>
      </w:pPr>
      <w:r>
        <w:rPr>
          <w:rFonts w:ascii="Arial" w:cs="Arial" w:eastAsia="Arial" w:hAnsi="Arial"/>
          <w:sz w:val="24"/>
          <w:szCs w:val="24"/>
        </w:rPr>
        <w:t xml:space="preserve">обеспечение защиты прав потребителей;</w:t>
      </w:r>
    </w:p>
    <w:p>
      <w:pPr>
        <w:spacing w:after="120"/>
        <w:jc w:val="both"/>
      </w:pPr>
      <w:r>
        <w:rPr>
          <w:rFonts w:ascii="Arial" w:cs="Arial" w:eastAsia="Arial" w:hAnsi="Arial"/>
          <w:sz w:val="24"/>
          <w:szCs w:val="24"/>
        </w:rPr>
        <w:t xml:space="preserve">системность проведения государственного контроля (надзора);</w:t>
      </w:r>
    </w:p>
    <w:p>
      <w:pPr>
        <w:spacing w:after="120"/>
        <w:jc w:val="both"/>
      </w:pPr>
      <w:r>
        <w:rPr>
          <w:rFonts w:ascii="Arial" w:cs="Arial" w:eastAsia="Arial" w:hAnsi="Arial"/>
          <w:sz w:val="24"/>
          <w:szCs w:val="24"/>
        </w:rPr>
        <w:t xml:space="preserve">профессионализм и компетентность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соблюдение прав и законных интересов проверяемых юридических лиц и индивидуальных предпринимателей;</w:t>
      </w:r>
    </w:p>
    <w:p>
      <w:pPr>
        <w:spacing w:after="120"/>
        <w:jc w:val="both"/>
      </w:pPr>
      <w:r>
        <w:rPr>
          <w:rFonts w:ascii="Arial" w:cs="Arial" w:eastAsia="Arial" w:hAnsi="Arial"/>
          <w:sz w:val="24"/>
          <w:szCs w:val="24"/>
        </w:rPr>
        <w:t xml:space="preserve">соблюдение законности при назначении и проведении мероприятий по государственному контролю (надзору), вынесении решений по их результатам;</w:t>
      </w:r>
    </w:p>
    <w:p>
      <w:pPr>
        <w:spacing w:after="120"/>
        <w:jc w:val="both"/>
      </w:pPr>
      <w:r>
        <w:rPr>
          <w:rFonts w:ascii="Arial" w:cs="Arial" w:eastAsia="Arial" w:hAnsi="Arial"/>
          <w:sz w:val="24"/>
          <w:szCs w:val="24"/>
        </w:rPr>
        <w:t xml:space="preserve">независимость органов государственного контроля (надзора)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недопустимость совмещения одним органом государства-члена полномочий по государственному контролю (надзору) с полномочиями по аккредитации, за исключением осуществления органом по аккредитации государства-члена контроля за деятельностью аккредитованных органов по оценке соответствия государств-членов (в том числе органов по сертификации, испытательных лабораторий (центров));</w:t>
      </w:r>
    </w:p>
    <w:p>
      <w:pPr>
        <w:spacing w:after="120"/>
        <w:jc w:val="both"/>
      </w:pPr>
      <w:r>
        <w:rPr>
          <w:rFonts w:ascii="Arial" w:cs="Arial" w:eastAsia="Arial" w:hAnsi="Arial"/>
          <w:sz w:val="24"/>
          <w:szCs w:val="24"/>
        </w:rPr>
        <w:t xml:space="preserve">объективность и беспристрастность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государственное финансирование деятельности органов государственного контроля (надзора);</w:t>
      </w:r>
    </w:p>
    <w:p>
      <w:pPr>
        <w:spacing w:after="120"/>
        <w:jc w:val="both"/>
      </w:pPr>
      <w:r>
        <w:rPr>
          <w:rFonts w:ascii="Arial" w:cs="Arial" w:eastAsia="Arial" w:hAnsi="Arial"/>
          <w:sz w:val="24"/>
          <w:szCs w:val="24"/>
        </w:rPr>
        <w:t xml:space="preserve">приоритетность предупреждения правонарушения перед наказанием (за исключением случаев, когда непринятие мер по выявлению и пресечению распространения продукции, не соответствующей требованиям технических регламентов Союза, может привести к причинению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оценка риска нарушения требований, установленных техническими регламентами Союза;</w:t>
      </w:r>
    </w:p>
    <w:p>
      <w:pPr>
        <w:spacing w:after="120"/>
        <w:jc w:val="both"/>
      </w:pPr>
      <w:r>
        <w:rPr>
          <w:rFonts w:ascii="Arial" w:cs="Arial" w:eastAsia="Arial" w:hAnsi="Arial"/>
          <w:sz w:val="24"/>
          <w:szCs w:val="24"/>
        </w:rPr>
        <w:t xml:space="preserve">недопустимость проведения в отношении одного юридического лица или индивидуального предпринимателя проверок исполнения одних и тех же обязательных требований, установленных техническими регламентами Союза, несколькими органами государственного контроля (надзора) государства-члена.</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В целях оптимизации и повышения эффективности осуществления государственного контроля (надзора) в государствах-членах применяется риск-ориентированный подход, предусматривающий осуществление государственного контроля (надзора) на основе оценки риска нарушения требований, установленных техническими регламентами Союза, по результатам которой осуществляется выбор формы, продолжительности, периодичности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2. Правила оценки риска в целях выбора формы, продолжительности, периодичности проведения мероприятий по государственному контролю (надзору) определяются в соответствии с законодательством государств-членов.</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Государственный контроль (надзор) осуществляется с учетом положений настоящего Соглашения на основе анализа и прогнозирования исполнения требований технических регламентов Союза и принятия мер по предупреждению, выявлению, пресечению обращения на территориях государств-членов продукции, не соответствующей требованиям технических регламентов Союза, и (или) устранению негативных последствий нарушения требований технических регламентов Союза посредством проведения мероприятий по государственному контролю (надзору), предусмотренных законодательством государств-членов.</w:t>
      </w:r>
    </w:p>
    <w:p>
      <w:pPr>
        <w:spacing w:after="120"/>
        <w:jc w:val="both"/>
      </w:pPr>
      <w:r>
        <w:rPr>
          <w:rFonts w:ascii="Arial" w:cs="Arial" w:eastAsia="Arial" w:hAnsi="Arial"/>
          <w:sz w:val="24"/>
          <w:szCs w:val="24"/>
        </w:rPr>
        <w:t xml:space="preserve">2. Анализ и прогнозирование соблюдения требований технических регламентов Союза включают в себя изучение и обобщение:</w:t>
      </w:r>
    </w:p>
    <w:p>
      <w:pPr>
        <w:spacing w:after="120"/>
        <w:jc w:val="both"/>
      </w:pPr>
      <w:r>
        <w:rPr>
          <w:rFonts w:ascii="Arial" w:cs="Arial" w:eastAsia="Arial" w:hAnsi="Arial"/>
          <w:sz w:val="24"/>
          <w:szCs w:val="24"/>
        </w:rPr>
        <w:t xml:space="preserve">1) сведений о юридических лицах и индивидуальных предпринимателях, являющихся заявителями при оценке соответствия объектов технического регулирования требованиям технических регламентов Союза, в том числе исследований (испытаний) и измерений;</w:t>
      </w:r>
    </w:p>
    <w:p>
      <w:pPr>
        <w:spacing w:after="120"/>
        <w:jc w:val="both"/>
      </w:pPr>
      <w:r>
        <w:rPr>
          <w:rFonts w:ascii="Arial" w:cs="Arial" w:eastAsia="Arial" w:hAnsi="Arial"/>
          <w:sz w:val="24"/>
          <w:szCs w:val="24"/>
        </w:rPr>
        <w:t xml:space="preserve">2) информации, полученной по результатам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3) информации об объектах технического регулирования, не соответствующих требованиям технических регламентов Союза, а также о случаях причинения вреда жизни и (или) здоровью человека, жизни и (или) здоровью животных и растений, вреда окружающей среде, выявленных в соответствии с законодательством государств-членов, в том числе поступающей от средств массовой информации.</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1. При проведении мероприятий по государственному контролю (надзору) органы государственного контроля (надзора) не вправе требовать от юридического лица или индивидуального предпринимателя представления информации, которая была представлена ранее в соответствии с законодательством государств-членов или которая может быть получена органами государственного контроля (надзора) в соответствии с законодательством государств-членов из государственных информационных систем, реестров и регистров, сформированных и действующих в соответствии с международными договорами и актами, составляющими право Союза, и законодательством государств-членов.</w:t>
      </w:r>
    </w:p>
    <w:p>
      <w:pPr>
        <w:spacing w:after="120"/>
        <w:jc w:val="both"/>
      </w:pPr>
      <w:r>
        <w:rPr>
          <w:rFonts w:ascii="Arial" w:cs="Arial" w:eastAsia="Arial" w:hAnsi="Arial"/>
          <w:sz w:val="24"/>
          <w:szCs w:val="24"/>
        </w:rPr>
        <w:t xml:space="preserve">2. В рамках государственного контроля (надзора) применяются правила и методы исследований (испытаний) и измерений, в том числе правила отбора образцов, содержащиеся в стандартах или иных документах, включенных в перечни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соответствующих технических регламентов Союза и осуществления оценки соответствия объектов технического регулирования, утверждаемые Евразийской экономической комиссией (далее - Комиссия) в соответствии с абзацем пятым пункта 4 Протокола о техническом регулировании в рамках Евразийского экономического союза (приложение № 9 к </w:t>
      </w:r>
      <w:hyperlink w:history="1" r:id="rIdddyipq-6jvvofscym1dls">
        <w:r>
          <w:rPr>
            <w:rFonts w:ascii="Arial" w:cs="Arial" w:eastAsia="Arial" w:hAnsi="Arial"/>
            <w:color w:val="1D4ED8"/>
            <w:sz w:val="24"/>
            <w:szCs w:val="24"/>
            <w:u w:val="single"/>
          </w:rPr>
          <w:t xml:space="preserve">Договору</w:t>
        </w:r>
      </w:hyperlink>
      <w:r>
        <w:rPr>
          <w:rFonts w:ascii="Arial" w:cs="Arial" w:eastAsia="Arial" w:hAnsi="Arial"/>
          <w:sz w:val="24"/>
          <w:szCs w:val="24"/>
        </w:rPr>
        <w:t xml:space="preserve"> о Евразийском экономическом союзе от 29 мая 2014 года) (далее - перечни стандартов).</w:t>
      </w:r>
    </w:p>
    <w:p>
      <w:pPr>
        <w:spacing w:after="120"/>
        <w:jc w:val="both"/>
      </w:pPr>
      <w:r>
        <w:rPr>
          <w:rFonts w:ascii="Arial" w:cs="Arial" w:eastAsia="Arial" w:hAnsi="Arial"/>
          <w:sz w:val="24"/>
          <w:szCs w:val="24"/>
        </w:rPr>
        <w:t xml:space="preserve">Исследования (испытания) и измерения в рамках государственного контроля (надзора) проводятся в аккредитованных в соответствии с законодательством государств-членов испытательных лабораториях (центрах).</w:t>
      </w:r>
    </w:p>
    <w:p>
      <w:pPr>
        <w:spacing w:after="120"/>
        <w:jc w:val="both"/>
      </w:pPr>
      <w:r>
        <w:rPr>
          <w:rFonts w:ascii="Arial" w:cs="Arial" w:eastAsia="Arial" w:hAnsi="Arial"/>
          <w:sz w:val="24"/>
          <w:szCs w:val="24"/>
        </w:rPr>
        <w:t xml:space="preserve">Не допускается в рамках государственного контроля (надзора) проведение исследований (испытаний) и измерений образцов продукции в испытательной лаборатории (центре), в которой данная продукция оценивалась (подтверждалась) на соответствие требованиям технических регламентов Союза, за исключением случаев, когда на территории государства-члена зарегистрирована в качестве юридического лица только одна испытательная лаборатория (центр), осуществляющая необходимые для государственного контроля (надзора) испытания.</w:t>
      </w:r>
    </w:p>
    <w:p>
      <w:pPr>
        <w:spacing w:after="120"/>
        <w:jc w:val="both"/>
      </w:pPr>
      <w:r>
        <w:rPr>
          <w:rFonts w:ascii="Arial" w:cs="Arial" w:eastAsia="Arial" w:hAnsi="Arial"/>
          <w:sz w:val="24"/>
          <w:szCs w:val="24"/>
        </w:rPr>
        <w:t xml:space="preserve">Для разрешения разногласий в отношении результатов проведенных в рамках государственного контроля (надзора) исследований (испытаний) и измерений применяются референтные методики (методы) измерений, определяемые в соответствии с порядком аттестации методики (метода) измерений, принимаемой в качестве референтной методики (метода) измерений, утверждаемым Комиссией, из числа включенных в перечни стандартов.</w:t>
      </w:r>
    </w:p>
    <w:p>
      <w:pPr>
        <w:spacing w:after="120"/>
        <w:jc w:val="both"/>
      </w:pPr>
      <w:r>
        <w:rPr>
          <w:rFonts w:ascii="Arial" w:cs="Arial" w:eastAsia="Arial" w:hAnsi="Arial"/>
          <w:sz w:val="24"/>
          <w:szCs w:val="24"/>
        </w:rPr>
        <w:t xml:space="preserve">3. Органы государственного контроля (надзора) вправе привлекать к проведению мероприятий по государственному контролю (надзору) экспертов и (или) экспертные организации в порядке, установленном законодательством государств-членов. Указанные мероприятия осуществляются с учетом принципа независимости указанных экспертов и экспертных организаций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4. Внеплановые проверки могут проводиться органами государственного контроля (надзора) в следующих случаях:</w:t>
      </w:r>
    </w:p>
    <w:p>
      <w:pPr>
        <w:spacing w:after="120"/>
        <w:jc w:val="both"/>
      </w:pPr>
      <w:r>
        <w:rPr>
          <w:rFonts w:ascii="Arial" w:cs="Arial" w:eastAsia="Arial" w:hAnsi="Arial"/>
          <w:sz w:val="24"/>
          <w:szCs w:val="24"/>
        </w:rPr>
        <w:t xml:space="preserve">1) получение органом государственного контроля (надзора) в порядке, установленном законодательством государств-членов, информации от государственных органов о нарушениях требований технических регламентов Союза;</w:t>
      </w:r>
    </w:p>
    <w:p>
      <w:pPr>
        <w:spacing w:after="120"/>
        <w:jc w:val="both"/>
      </w:pPr>
      <w:r>
        <w:rPr>
          <w:rFonts w:ascii="Arial" w:cs="Arial" w:eastAsia="Arial" w:hAnsi="Arial"/>
          <w:sz w:val="24"/>
          <w:szCs w:val="24"/>
        </w:rPr>
        <w:t xml:space="preserve">2) возникновение угрозы причинения и (или) причинение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3) в иных случаях, предусмотренных законодательством государств-членов.</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1. Государства-члены в целях организации проведения государственного контроля (надзора) и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 обеспечивают взаимодействие органов государственного контроля (надзора), а также органов государственного контроля (надзора) с органами или юридическими лицами, уполномоченными в соответствии с законодательством государства-члена на проведение аккредитации, в том числе путем систематического обмена информацией, организации обмена опытом проведения государственного контроля (надзора).</w:t>
      </w:r>
    </w:p>
    <w:p>
      <w:pPr>
        <w:spacing w:after="120"/>
        <w:jc w:val="both"/>
      </w:pPr>
      <w:r>
        <w:rPr>
          <w:rFonts w:ascii="Arial" w:cs="Arial" w:eastAsia="Arial" w:hAnsi="Arial"/>
          <w:sz w:val="24"/>
          <w:szCs w:val="24"/>
        </w:rPr>
        <w:t xml:space="preserve">Порядок указанного взаимодействия определяется Советом Комиссии.</w:t>
      </w:r>
    </w:p>
    <w:p>
      <w:pPr>
        <w:spacing w:after="120"/>
        <w:jc w:val="both"/>
      </w:pPr>
      <w:r>
        <w:rPr>
          <w:rFonts w:ascii="Arial" w:cs="Arial" w:eastAsia="Arial" w:hAnsi="Arial"/>
          <w:sz w:val="24"/>
          <w:szCs w:val="24"/>
        </w:rPr>
        <w:t xml:space="preserve">2. Органы государственного контроля (надзора) в целях обеспечения информационного обмена и взаимодействия при проведении государственного контроля (надзора) используют интегрированную информационную систему Союза.</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1. В целях оперативного взаимодействия органов государственного контроля (надзора) и иных уполномоченных органов государств-членов при реализации общих процессов в рамках Союза с использованием интегрированной информационной системы Союза обеспечивается функционирование системы информирования об опасной продукции.</w:t>
      </w:r>
    </w:p>
    <w:p>
      <w:pPr>
        <w:spacing w:after="120"/>
        <w:jc w:val="both"/>
      </w:pPr>
      <w:r>
        <w:rPr>
          <w:rFonts w:ascii="Arial" w:cs="Arial" w:eastAsia="Arial" w:hAnsi="Arial"/>
          <w:sz w:val="24"/>
          <w:szCs w:val="24"/>
        </w:rPr>
        <w:t xml:space="preserve">2. В рамках функционирования системы информирования об опасной продукции осуществляется формирование, ведение и использование общих информационных ресурсов, а также обмен сведениями, в том числе:</w:t>
      </w:r>
    </w:p>
    <w:p>
      <w:pPr>
        <w:spacing w:after="120"/>
        <w:jc w:val="both"/>
      </w:pPr>
      <w:r>
        <w:rPr>
          <w:rFonts w:ascii="Arial" w:cs="Arial" w:eastAsia="Arial" w:hAnsi="Arial"/>
          <w:sz w:val="24"/>
          <w:szCs w:val="24"/>
        </w:rPr>
        <w:t xml:space="preserve">1) о выявленной продукции, не соответствующей требованиям технических регламентов Союза, а также о принятых мерах по предупреждению, выявлению и пресечению обращения на территориях государств-членов такой продукции и (или) устранению негативных последствий выявленных нарушений;</w:t>
      </w:r>
    </w:p>
    <w:p>
      <w:pPr>
        <w:spacing w:after="120"/>
        <w:jc w:val="both"/>
      </w:pPr>
      <w:r>
        <w:rPr>
          <w:rFonts w:ascii="Arial" w:cs="Arial" w:eastAsia="Arial" w:hAnsi="Arial"/>
          <w:sz w:val="24"/>
          <w:szCs w:val="24"/>
        </w:rPr>
        <w:t xml:space="preserve">2) о выявленных случаях реализации на территории государства-члена продукции, подлежащей обязательной оценке соответствия требованиям технических регламентов Союза, без документов об оценке соответствия или сведений о ее проведении;</w:t>
      </w:r>
    </w:p>
    <w:p>
      <w:pPr>
        <w:spacing w:after="120"/>
        <w:jc w:val="both"/>
      </w:pPr>
      <w:r>
        <w:rPr>
          <w:rFonts w:ascii="Arial" w:cs="Arial" w:eastAsia="Arial" w:hAnsi="Arial"/>
          <w:sz w:val="24"/>
          <w:szCs w:val="24"/>
        </w:rPr>
        <w:t xml:space="preserve">3) о выявленных фактах нарушения требований технических регламентов Союза в части оценки соответствия продукции, включая факты нарушения правил выполнения работ по сертификации и факты представления недостоверных результатов исследований (испытаний) и измерений.</w:t>
      </w:r>
    </w:p>
    <w:p>
      <w:pPr>
        <w:spacing w:after="120"/>
        <w:jc w:val="both"/>
      </w:pPr>
      <w:r>
        <w:rPr>
          <w:rFonts w:ascii="Arial" w:cs="Arial" w:eastAsia="Arial" w:hAnsi="Arial"/>
          <w:sz w:val="24"/>
          <w:szCs w:val="24"/>
        </w:rPr>
        <w:t xml:space="preserve">3. Порядок представления, сбора и обобщения сведений, их состав, порядок их размещения в общих информационных ресурсах, указанных в пункте 2 настоящей статьи, а также правила функционирования системы информирования об опасной продукции определяются Комиссией.</w:t>
      </w:r>
    </w:p>
    <w:p>
      <w:pPr>
        <w:spacing w:after="120"/>
        <w:jc w:val="both"/>
      </w:pPr>
      <w:r>
        <w:rPr>
          <w:rFonts w:ascii="Arial" w:cs="Arial" w:eastAsia="Arial" w:hAnsi="Arial"/>
          <w:sz w:val="24"/>
          <w:szCs w:val="24"/>
        </w:rPr>
        <w:t xml:space="preserve">4. Органы государственного контроля (надзора) и иные уполномоченные органы государства-члена принимают меры, предусмотренные законодательством государства-члена, по предупреждению и пресечению выпуска в обращение и обращения на территориях государств-членов продукции, не соответствующей требованиям технических регламентов Союза, в случае, если информация о такой продукции содержится в системе информирования об опасной продукции.</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1. Органы государственного контроля (надзора) осуществляют взаимодействие в целях:</w:t>
      </w:r>
    </w:p>
    <w:p>
      <w:pPr>
        <w:spacing w:after="120"/>
        <w:jc w:val="both"/>
      </w:pPr>
      <w:r>
        <w:rPr>
          <w:rFonts w:ascii="Arial" w:cs="Arial" w:eastAsia="Arial" w:hAnsi="Arial"/>
          <w:sz w:val="24"/>
          <w:szCs w:val="24"/>
        </w:rPr>
        <w:t xml:space="preserve">1) выявления на территориях государств-членов продукции, не соответствующей требованиям технических регламентов Союза, в том числе в целях принятия решения о выдаче предписания о необходимости приостановления или прекращения действия (признания недействительным) документа об оценке соответствия органу, выдавшему этот документ, либо юридическому лицу или индивидуальному предпринимателю, принявшим этот документ;</w:t>
      </w:r>
    </w:p>
    <w:p>
      <w:pPr>
        <w:spacing w:after="120"/>
        <w:jc w:val="both"/>
      </w:pPr>
      <w:r>
        <w:rPr>
          <w:rFonts w:ascii="Arial" w:cs="Arial" w:eastAsia="Arial" w:hAnsi="Arial"/>
          <w:sz w:val="24"/>
          <w:szCs w:val="24"/>
        </w:rPr>
        <w:t xml:space="preserve">2)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w:t>
      </w:r>
    </w:p>
    <w:p>
      <w:pPr>
        <w:spacing w:after="120"/>
        <w:jc w:val="both"/>
      </w:pPr>
      <w:r>
        <w:rPr>
          <w:rFonts w:ascii="Arial" w:cs="Arial" w:eastAsia="Arial" w:hAnsi="Arial"/>
          <w:sz w:val="24"/>
          <w:szCs w:val="24"/>
        </w:rPr>
        <w:t xml:space="preserve">2. Приостановление или прекращение действия (признание недействительными) документов об оценке соответствия осуществляется органами государственного контроля (надзора) и (или) иными уполномоченными органами государства-члена в соответствии с законодательством этого государства-члена.</w:t>
      </w:r>
    </w:p>
    <w:p>
      <w:pPr>
        <w:spacing w:after="120"/>
        <w:jc w:val="both"/>
      </w:pPr>
      <w:r>
        <w:rPr>
          <w:rFonts w:ascii="Arial" w:cs="Arial" w:eastAsia="Arial" w:hAnsi="Arial"/>
          <w:sz w:val="24"/>
          <w:szCs w:val="24"/>
        </w:rPr>
        <w:t xml:space="preserve">3. Государство-член, несогласное с результатами мероприятий, проведенных органом государственного контроля (надзора) другого государства-члена, может обратиться в Комиссию с просьбой о рассмотрении вопроса обоснованности (с учетом требований, установленных техническими регламентами Союза) мер, принятых органом государственного контроля (надзора) такого государства-члена в отношении соответствующей продукции.</w:t>
      </w:r>
    </w:p>
    <w:p>
      <w:pPr>
        <w:spacing w:after="120"/>
        <w:jc w:val="both"/>
      </w:pPr>
      <w:r>
        <w:rPr>
          <w:rFonts w:ascii="Arial" w:cs="Arial" w:eastAsia="Arial" w:hAnsi="Arial"/>
          <w:sz w:val="24"/>
          <w:szCs w:val="24"/>
        </w:rPr>
        <w:t xml:space="preserve">По результатам рассмотрения такого обращения Коллегией Комиссии может быть рекомендовано государству-члену, органом государственного контроля (надзора) которого было принято решение о применении соответствующей меры, пересмотреть результаты мероприятий по государственному контролю (надзору) с учетом требований, установленных техническими регламентами Союза.</w:t>
      </w:r>
    </w:p>
    <w:p>
      <w:pPr>
        <w:spacing w:after="120"/>
        <w:jc w:val="both"/>
      </w:pPr>
      <w:r>
        <w:rPr>
          <w:rFonts w:ascii="Arial" w:cs="Arial" w:eastAsia="Arial" w:hAnsi="Arial"/>
          <w:sz w:val="24"/>
          <w:szCs w:val="24"/>
        </w:rPr>
        <w:t xml:space="preserve">Порядок рассмотрения указанных обращений устанавливается Комиссией.</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1. Государства-члены обеспечивают представление в Комиссию информации об органах государственного контроля (надзора) с указанием нормативных правовых актов, наделяющих эти органы соответствующими полномочиями, а также информации о нормативных правовых актах, определяющих порядок проведения государственного контроля (надзора) в государствах-членах.</w:t>
      </w:r>
    </w:p>
    <w:p>
      <w:pPr>
        <w:spacing w:after="120"/>
        <w:jc w:val="both"/>
      </w:pPr>
      <w:r>
        <w:rPr>
          <w:rFonts w:ascii="Arial" w:cs="Arial" w:eastAsia="Arial" w:hAnsi="Arial"/>
          <w:sz w:val="24"/>
          <w:szCs w:val="24"/>
        </w:rPr>
        <w:t xml:space="preserve">2. Комиссия обеспечивает размещение информации, указанной в пункте 1 настоящей статьи, на официальном сайте Союза.</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Споры, связанные с применением и (или) толкованием настоящего Соглашения, разрешаются в порядке, определенном </w:t>
      </w:r>
      <w:hyperlink w:history="1" r:id="rId7pi0v5e7ygkidyfj4jsg8">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1. Настоящее Соглашение является международным договором, заключенным в рамках Союза, и входит в право Союза.</w:t>
      </w:r>
    </w:p>
    <w:p>
      <w:pPr>
        <w:spacing w:after="120"/>
        <w:jc w:val="both"/>
      </w:pPr>
      <w:r>
        <w:rPr>
          <w:rFonts w:ascii="Arial" w:cs="Arial" w:eastAsia="Arial" w:hAnsi="Arial"/>
          <w:sz w:val="24"/>
          <w:szCs w:val="24"/>
        </w:rPr>
        <w:t xml:space="preserve">2.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вступления настоящего Соглашения в силу.</w:t>
      </w:r>
    </w:p>
    <w:p>
      <w:pPr>
        <w:spacing w:after="120"/>
        <w:jc w:val="both"/>
      </w:pPr>
      <w:r>
        <w:rPr>
          <w:rFonts w:ascii="Arial" w:cs="Arial" w:eastAsia="Arial" w:hAnsi="Arial"/>
          <w:sz w:val="24"/>
          <w:szCs w:val="24"/>
        </w:rPr>
        <w:t xml:space="preserve">3. По взаимному согласию государств-членов в настоящее Соглашение могут быть внесены изменения, которые оформляются отдельными протоколами и являются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Москве 16 февраля 2021 года в одном подлинном экземпляре на русском языке.</w:t>
      </w:r>
    </w:p>
    <w:p>
      <w:pPr>
        <w:spacing w:after="120"/>
        <w:jc w:val="both"/>
      </w:pPr>
      <w:r>
        <w:rPr>
          <w:rFonts w:ascii="Arial" w:cs="Arial" w:eastAsia="Arial" w:hAnsi="Arial"/>
          <w:sz w:val="24"/>
          <w:szCs w:val="24"/>
        </w:rPr>
        <w:t xml:space="preserve">Подлинный экземпляр настоящего Соглашения хранится в Евразийской экономической комиссии, которая, являясь депозитарием настоящего Соглашения, направит каждому государству-члену его заверенную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Республику Армения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Республику Беларусь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Республику Казахстан</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Кыргызскую Республику</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Российскую Федерацию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6le90gbmxzzx_svjmac">
      <w:r>
        <w:rPr>
          <w:rFonts w:ascii="Arial" w:cs="Arial" w:eastAsia="Arial" w:hAnsi="Arial"/>
          <w:color w:val="132D3F"/>
          <w:sz w:val="16"/>
          <w:szCs w:val="16"/>
          <w:u w:val="single"/>
        </w:rPr>
        <w:t xml:space="preserve">dalil.kg/document/158539</w:t>
      </w:r>
    </w:hyperlink>
  </w:p>
  <w:p>
    <w:pPr>
      <w:spacing w:after="0" w:before="40"/>
      <w:jc w:val="center"/>
    </w:pPr>
    <w:hyperlink w:history="1" r:id="rIdia_nv__l9nfij2wivta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nnz13niinmfvktz6nrw" Type="http://schemas.openxmlformats.org/officeDocument/2006/relationships/hyperlink" Target="https://dalil.kg/document/111154#st_53" TargetMode="External"/><Relationship Id="rIdddyipq-6jvvofscym1dls" Type="http://schemas.openxmlformats.org/officeDocument/2006/relationships/hyperlink" Target="https://dalil.kg/document/111154" TargetMode="External"/><Relationship Id="rId7pi0v5e7ygkidyfj4jsg8" Type="http://schemas.openxmlformats.org/officeDocument/2006/relationships/hyperlink" Target="https://dalil.kg/document/1111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6le90gbmxzzx_svjmac" Type="http://schemas.openxmlformats.org/officeDocument/2006/relationships/hyperlink" Target="https://dalil.kg/document/158539" TargetMode="External"/><Relationship Id="rIdia_nv__l9nfij2wivta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2026-09-28T09:22:22.026Z</dcterms:created>
  <dcterms:modified xsi:type="dcterms:W3CDTF">2026-09-28T09:22:22.026Z</dcterms:modified>
</cp:coreProperties>
</file>

<file path=docProps/custom.xml><?xml version="1.0" encoding="utf-8"?>
<Properties xmlns="http://schemas.openxmlformats.org/officeDocument/2006/custom-properties" xmlns:vt="http://schemas.openxmlformats.org/officeDocument/2006/docPropsVTypes"/>
</file>