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gkvwsttjgl6jni88eahw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Кыргызской Республики
 от 15 июля 2021 года № 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Методология
 разработки отраслевой рамки квалификаций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Государственный классификатор видов экономической деятельности Кыргызской Республики - составная часть Единой системы классификации и кодирования технико-экономической и социальной информации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Дескрипторы - описание в обобщенном виде результатов обучения для различных уровней квалификации. Система дескрипторов является инвариантной, то есть не привязанной к конкретному образовательному контексту, что облегчает сопоставление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Информальное обучение - обучение, осуществляемое в ходе повседневной жизнедеятельности человека, связанной с его работой, жизнью в семье или проведением досуга, не организованное и не структурированное в плане целей, продолжительности и помощи в обучении; может быть непреднамеренным с точки зрения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Неформальное обучение - обучение, осуществляемое в ходе спланированной деятельности, в плане целей, продолжительности и помощи в обучении, т.е. обучение, происходящее в ходе повседневных трудовых ситуаций, содержащих обучающий компонент, но не завершающееся выдачей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Знания - совокупность фактов, принципов, теорий и практик, которые связаны с областью работы или обучения. Знания описываются как теоретические и/или как фактологические и являются результатом усвоения информации через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Квалификация - признание освоенных знаний, умений и полученного опыта, необходимых для осуществления трудовой деятельности, подтвержденное установленными законодательством видами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Компетенция - способность применять знания, навыки и опыт в различной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Личностные компетенции - поведенческие действия, направленные на наиболее эффективное разрешение конкретной жизненной и/или профессиональной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Магистр - уровень квалификации высшего профессионального образования, дающий право для поступления в аспирантуру и (или) в базовую докторантуру (PhD/по профилю), и осуществления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Навыки - доведенная до автоматизма способность качественно выполнять трудовые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Национальная рамка квалификаций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квалификаций, являющееся основой для системы подтверждения соответствия и присвоения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Общереспубликанский классификатор занятий Кыргызской Республики - систематизированный перечень видов трудовой деятельности, позволяющий достигнуть единообразия их наименований, предназначен для проведения статистических обследований распределения населения по видам занятий, организации статистического учета в целях осуществления эффективной политики занятости, выполнения аналитических исследований и сопоставлений, в том числе международных.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Отраслевые/секторальные рамки квалификаций - системное и структурированное по уровням описание содержания квалификаций в определенной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Отрасль - группы близких по характеру предприятий и организаций, для которых характерна общность выпускаемой продукции, предоставляемых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Профессиональный стандарт - характеристика содержания трудовых функций и требований к квалификации работника, необходимой для 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Профессия - основной род занятий трудовой деятельности человека, требующий определенных знаний, умений и практических навыков, приобретенных в результате специальной подготовки и подтверждаемых соответствующими документами о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Результаты обучения - констатация того, что обучающийся знает, понимает и умеет делать по завершении обучения. Результаты обучения показывают индивидуальные достижения, знания и практические умения, приобретенные и продемонстрированные после успешного завершения отдельного курса, части образовательной программы/модуля или образовательной программы в целом. Результаты обучения содержат критерии оценки, отражают минимальные требования, предъявляемые к полученной степени. Результаты обучения следует отличать от задач и целей, так как они больше связаны с достижениями обучающихся, чем с задачами преподавателя. Результаты обучения каждого уровня квалификации отражены в национальной рамке квалификаций и являются основой для оценки и признания результатов, полученных через формальное, неформальное и информальное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Специалист - уровень квалификации высшего профессионального образования, дающий право для поступления в аспирантуру и (или) в базовую докторантуру (PhD/по профилю), и осуществления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Умение - способность применять приобретенные знания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Уровень квалификации установленная и описанная в квалификационных рамках совокупность требований к компетенциям работников. Уровень квалификации дифференцирован по параметрам знаний, умений, ответственности и самостоятельности.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Формальное образование - образование, структурированное в плане целей, продолжительности и помощи в обучении и завершающееся выдачей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Методология разработки отраслевой рамки квалификаций разработана в целях реализации </w:t>
      </w:r>
      <w:r>
        <w:rPr>
          <w:rFonts w:ascii="Arial" w:cs="Arial" w:eastAsia="Arial" w:hAnsi="Arial"/>
          <w:sz w:val="22"/>
          <w:szCs w:val="22"/>
        </w:rPr>
        <w:t xml:space="preserve">Национальной стратегии</w:t>
      </w:r>
      <w:r>
        <w:rPr>
          <w:rFonts w:ascii="Arial" w:cs="Arial" w:eastAsia="Arial" w:hAnsi="Arial"/>
          <w:sz w:val="22"/>
          <w:szCs w:val="22"/>
        </w:rPr>
        <w:t xml:space="preserve"> развития Кыргызской Республики на 2018-2040 годы, утвержденной </w:t>
      </w:r>
      <w:hyperlink w:history="1" r:id="rIdftckf-kre8-woayto9pke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Президента Кыргызской Республики от 31 октября 2018 года № 221, </w:t>
      </w:r>
      <w:hyperlink w:history="1" r:id="rIdnl7yrdeahen21gcdd_pv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образовании", </w:t>
      </w:r>
      <w:hyperlink w:history="1" r:id="rIdqccoy4ep8vm-opyi-lep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Концепци</w:t>
        </w:r>
      </w:hyperlink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Республике, утвержденной </w:t>
      </w:r>
      <w:hyperlink w:history="1" r:id="rId_ltynthcz9ic-3lestw0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30 сентября 2019 года № 505, </w:t>
      </w:r>
      <w:r>
        <w:rPr>
          <w:rFonts w:ascii="Arial" w:cs="Arial" w:eastAsia="Arial" w:hAnsi="Arial"/>
          <w:sz w:val="22"/>
          <w:szCs w:val="22"/>
        </w:rPr>
        <w:t xml:space="preserve">Плана</w:t>
      </w:r>
      <w:r>
        <w:rPr>
          <w:rFonts w:ascii="Arial" w:cs="Arial" w:eastAsia="Arial" w:hAnsi="Arial"/>
          <w:sz w:val="22"/>
          <w:szCs w:val="22"/>
        </w:rPr>
        <w:t xml:space="preserve"> мероприятий по реализации </w:t>
      </w:r>
      <w:hyperlink w:history="1" r:id="rId721ljmw11tygliz1qsci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2"/>
          <w:szCs w:val="22"/>
        </w:rPr>
        <w:t xml:space="preserve"> национальной системы квалификаций в Кыргызской Республике на 2020-2021 годы утвержденного </w:t>
      </w:r>
      <w:hyperlink w:history="1" r:id="rIdj0dea-kzkkddip46zyvx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16 марта 2020 года № 79-р, и устанавливает порядок разработки, экспертной оценки и введения в действие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Методология разработки отраслевой рамки квалификаций содержит термины и определения, механизмы разработки отраслевой рамки квалификаций, критерии ее оценки и механизмы утверждения, а также требования к ее оформлению в соответствии с макетом отраслевой рамки квалификаций. Пример заполнения отраслевой рамки квалификаций приведен в </w:t>
      </w:r>
      <w:hyperlink w:history="1" r:id="rIdw53uehtmju1g0ui7ffaq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Отраслевая рамка квалификаций является одним из элементов национальной системы квалификаций в Кыргызской Республике. Цель отраслевой рамки квалификаций - соотнесение знаний, навыков и личностных компетенций работников и существующих квалификаций на основе национальной рамки квалификаций (далее - НРК), а также структурирование профессий и должностей в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Квалификационные уровни/подуровни, описанные в отраслевой рамке квалификаций, используются в профессиональном стандарте.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Пользователями отраслевой рамки квалификаций являются все заинтересованные лица (например, объединения работодателей/работников, органы сферы образования, организаций, отраслевых уполномоченных государственных органов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Отраслевая рамка квалификаций позволяет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уровни/подуровни квалификации в отрасли и их межотраслевые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дескрипторы уровней (знания, навыки и личностные компетенции);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пути достижения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требования к квалификации при ее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новые требования к развитию человеческих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организации работы над отраслевой рамкой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Уполномоченный государственный орган в сфере труда непосредственно координирует работу по разработке и продвижению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Заказчиком является сторона, заинтересованная в разработке отраслевой рамки квалификаций и дальнейшем ее продвижении. Заказчик определяет основные требования к отраслевой рамке квалификаций, обеспечивает финансирование проекта. Заказчиками могут быть отраслевые уполномоченные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Отраслевая рамка квалификаций разрабатывается отраслевыми советами, объединениями работодателей, которые вправе привлекать к своей работе специалистов, независимых экспертов и иных представителей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Организация работы над отраслевой рамкой квалификаций осуществляется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создание рабочей группы по разработке отраслевой рамки квалификаций с привлечением специалистов, экспертов и иных представителей соответствующей отрасли, обладающих знанием стратегии и приоритетов развития отрасли, специфики конкретных видов деятельности, предъявляемых к работникам требований к квалификации, программ и форм профессионального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проект отраслевой рамки квалификаций разрабатывается согласно порядку, предусмотренному разделом 5 настоящей Методологии, и макету отраслевой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разработанный проект отраслевой рамки квалификаций проходит процедуру общественного обсуждения в течение 30 дней (круглые столы, размещение на сайте разработчиков отраслевой рамки квалификаций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доработка проекта с учетом результатов обсуждения (при необходимости).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оценки отраслевой рамки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Проект отраслевой рамки квалификаций должен быть представлен разработчиками отраслевому уполномоченному государственному органу в электронной и бумажной версиях. Оценка отраслевой рамки квалификаций осуществляется экспертной группой, создаваемой при соответствующем отраслевом уполномоченном государственном органе. Порядок создания и регламент работы экспертной группы утверждаются приказом отраслевого уполномоченного государственного органа. В состав экспертной группы включаются представители отрасли, для которой предназначена отраслевая рамка квалификаций, и представители отраслевого профсоюза (при наличии). В качестве представителей отрасли могут выступать бизнес-ассоциации, в которых представлены предприятия отрасли и профессиональные объединения. В оценке отраслевой рамки квалификаций также могут участвовать представители системы образования. Своевременность и объективность оценки отраслевой рамки квалификаций возлагаются на председателя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Экспертная группа в течение 30 календарных дней со дня поступления оценивает проект отраслевой рамки квалификаций на соответствие его структуры и оформления макету отраслевой рамки квалификаций, а также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содержание отраслевой рамки квалификаций должно охватывать все необходимые требования, указанные в макете отраслевой рамки квалификаций, и учитывать специфику рассматриваемой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для удобства восприятия информированным пользователем, отраслевая рамка квалификаций должна быть краткой, с использованием терминологии, предлагаемой настоящей Методологией, а также, понятно сформулирована;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отраслевая рамка квалификаций должна соответствовать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несоответствия представленного проекта отраслевой рамки квалификаций макету, отраслевой уполномоченный государственный орган возвращает его разработчикам на доработку. Экспертная группа проводит повторную оценку проекта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положительной оценке проекта отраслевой рамки квалификаций, экспертная группа составляет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Заказчик проекта отраслевой рамки квалификаций передает в уполномоченный государственный орган в сфере труда на согласование проект отраслевой рамки квалификаций с копией заключения экспертной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Порядок утверждения отраслевой рамки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Уполномоченный государственный орган в сфере труда в течение двух недель рассматривает проект отраслевой рамки квалификаций на соответствие требованиям трудового законодательства Кыргызской Республики. При отсутствии прямых противоречий, уполномоченный государственный орган в сфере труда представляет соответствующему отраслевому уполномоченному государственному органу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7. Проект отраслевой рамки квалификаций утверждается приказом/распоряжением отраслевого государственного уполномоченного органа в трехдневный срок и направляется на регистрацию в уполномоченный государственный орган в сфере труда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Уполномоченный государственный орган в сфере труда, после регистрации отраслевой рамки квалификаций, в течение одной недели направляет 1 экземпляр отраслевому государственному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Уполномоченный государственный орган в сфере труда в течение трех рабочих дней вносит отраслевую рамку квалификаций в реестр и размещает на своем официальном сайте. Утвержденная отраслевая рамка квалификаций считается введенной в действие с момента публикации на официальном сайте уполномоченного государственного органа в сфере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Порядок разработки отраслевой рамки квалификаций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Отраслевая рамка квалификаций разрабатывается согласно макету отраслевой рамки квалификаций и состоит из пяти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общая информация об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список должностей, профессий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структура отраслевой рамки квалификаций для отраслевых должностей 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структура отраслевой рамки квалификаций для межотраслевых должностей 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информация о разработчиках.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Общая информация об отрасли. В данном разделе отраслевой рамки квалификаций необходимо указать следующие пункты: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код отраслевой рамки квалификаций необходим для внесения в реестр уполномоченного государственного органа в сфере труда и для удобства пользования, хранения, поиска отраслевой рамки квалификаций. Код состоит из буквенных и цифровых знаков - XXXYYYZZZZ: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XXX - аббревиатура отраслевой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YYY - порядковый номер отраслевой рамки квалификаций в реестре (каждой отраслевой рамке квалификаций присваивается трехзначный порядковый номер);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ZZZZ - секция, подсекция и раздел вида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Пример 1 - ОРК090QA86: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ОРК090 - номер отраслевой рамки квалификаций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ОРК090QA - секция, подсекция согласно Государственному классификатору Кыргызской Республики "Виды экономической деятельности" (далее - ГКЭД);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ОРК090QA86 - раздел в ГКЭД - здравоохранение.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Пример 2 - ОРК035А02: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ОРК035 - номер отраслевой рамки квалификаций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ОРК035А - секция согласно ГКЭД;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ОРК035А02 - раздел в ГКЭД - лесное хозяйство и предоставление услуг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указывается наименование отрасли согласно ГКЭД;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при формулировке основной цели отрасли учитывается ее вклад в развитие страны. Например, для отрасли здравоохранения цель может быть сформулирована следующим образом: охрана и укрепление здоровья граждан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необходимо перечислить перечень основных нормативных правовых актов, в рамках которых осуществляется деятельность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Список должностей, профессий отрасли. Данный раздел отраслевой рамки квалификаций разрабатывается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анализа и группировки всех существующих в отрасли профессий и должностей по категориям работников согласно Общереспубликанскому классификатору профессий, должностей служащих и тарифных разрядов Кыргызской Республики и Единому тарифно-квалификационному справочнику работ и профессий рабочих (например, руководители, специалисты высшего уровня квалификации и др. категории) и по уровням НРК;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определения отраслевых и межотраслевых групп должностей и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анализа и определения должностей и профессий могут использоваться Общереспубликанский классификатор занятий (далее - ОКЗ), штатные расписания организаций отрасли, должностные инструкции работников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Структура отраслевой рамки квалификаций для отраслевых должностей и профессий состоит из следующих элементов: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уровни отраслевой рамки квалификаций - определяются в соответствии с уровнями НРК. Необходимо иметь в виду, что в некоторых отраслях могут быть подуровни. Например, в здравоохранении уровень НРК 7 имеет подуровни 7.1 (специалисты) и 7.2 (ординаторы). В 7.1 могут войти и врачи, имеющие диплом магистра по экспериментальным образовательным программам или иностранных образовательных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макета отраслевой рамки квалификаций использован перечень дескрипторов из НРК: знания, навыки, личностные компетенции (1 - самостоятельность, 2 - ответственность, 3 - коммуникация). Содержание данных дескрипторов должно отражать специфику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графе "Наименование должностей" используется список должностей и профессий из второго раздела данного макета. При этом каждая профессия должна быть соотнесена с уровнем отраслевой рамки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определения минимального уровня квалификации по НРК необходимо учесть уровень образования для данной должности и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графе "Пути достижения уровня квалификации" приводятся сведения о возможных траекториях продвижения и повышения квалификации. Уровень квалификации можно достичь через различные виды образования (формальные, неформальные, информальные), опыт работы и др. Например, для работы в должности врача требуется высшее профессиональное образование специалиста, опыт работы в данной сфере и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заключительной части приводится в табличной форме полная информация о разработке отраслевой рамки квалификаций, которая включает наименование разработчика (отраслевого совета/профессионального объединения/бизнес-ассоциации и др.), фамилии, имена, отчества, должности разработчиков, дату разработки и срок действия отраслевой рамки квалификаций.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Срок действия отраслевой рамки квалификаций устанавливается на 5 лет. В зависимости от специфики отрасли и при необходимости отраслевая рамка квалификаций может быть обновлена ранее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Для оформления отраслевой рамки квалификаций необходимо использовать единое оформление: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отраслевая рамка квалификаций оформляется с использованием шрифта "Times New Roman", размером 14, с одинарным междустрочным интервалом;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разделы ОРК, подразделы и пункты внутри раздела отделяются одним междустрочным интервалом;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структура отраслевой рамки квалификаций для отраслевых должностей и профессий оформляется в альбомном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размеры полей каждого листа документа: левое - 3 см; правое, верхнее и нижнее - 2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номера страниц отраслевой рамки квалификаций должны быть проставлены по правому краю нижнего поля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  <w:r>
        <w:rPr>
          <w:rFonts w:ascii="Arial" w:cs="Arial" w:eastAsia="Arial" w:hAnsi="Arial"/>
          <w:sz w:val="22"/>
          <w:szCs w:val="22"/>
        </w:rPr>
        <w:t xml:space="preserve">к Методологии разработки отраслевой рамки квалификаций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МАКЕТ
 отраслевой рамки квалификаций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Общая информация об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0"/>
        <w:gridCol w:w="3458"/>
      </w:tblGrid>
      <w:tr>
        <w:tc>
          <w:tcPr>
            <w:tcW w:type="dxa" w:w="6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отраслевой рамки квалификаций (секция, подсекция, раздел вида экономической деятельности)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отрасли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цели отрасли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Перечень основных нормативных правовых актов, в рамках которых осуществляется деятельность отрасли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Список должностей, профессий отрасли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1631"/>
        <w:gridCol w:w="1635"/>
        <w:gridCol w:w="2200"/>
        <w:gridCol w:w="1368"/>
        <w:gridCol w:w="2086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Руководители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высшего уровня квалификации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среднего уровня квалификации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Служащие, занятые подготовкой и оформлением документации, учетом и обслуживанием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 категории работников отрасли(1)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Неквалифицированные рабочие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Отраслевые должности, профессии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Межотраслевые должности, профессии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(1) Для других категорий работников отрасли рекомендуется создавать отдельные столбцы.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Структура отраслевой рамки квалификаций для 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6"/>
        <w:gridCol w:w="1053"/>
        <w:gridCol w:w="1053"/>
        <w:gridCol w:w="2022"/>
        <w:gridCol w:w="1517"/>
        <w:gridCol w:w="1519"/>
        <w:gridCol w:w="1519"/>
      </w:tblGrid>
      <w:tr>
        <w:tc>
          <w:tcPr>
            <w:tcW w:type="dxa" w:w="1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1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Личностные компетенции (самостоятельность, ответственность, коммуникация)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 отраслевой рамки квалификаций дли межотраслевых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3"/>
        <w:gridCol w:w="1024"/>
        <w:gridCol w:w="1024"/>
        <w:gridCol w:w="1960"/>
        <w:gridCol w:w="1539"/>
        <w:gridCol w:w="1539"/>
        <w:gridCol w:w="1539"/>
      </w:tblGrid>
      <w:tr>
        <w:tc>
          <w:tcPr>
            <w:tcW w:type="dxa" w:w="1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Личные компетенции (ответственность, самостоятельность коммуникация)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Информации о разработчиках отраслевой рамки квалификаций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9"/>
        <w:gridCol w:w="1968"/>
        <w:gridCol w:w="1970"/>
      </w:tblGrid>
      <w:tr>
        <w:tc>
          <w:tcPr>
            <w:tcW w:type="dxa" w:w="62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разработчика (отраслевого совета/профессионального объединения/бизнес-ассоциации и др.)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разработки отраслевой рамки квалификаций: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действия: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Участники разработки: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и наименование организации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  <w:r>
        <w:rPr>
          <w:rFonts w:ascii="Arial" w:cs="Arial" w:eastAsia="Arial" w:hAnsi="Arial"/>
          <w:sz w:val="22"/>
          <w:szCs w:val="22"/>
        </w:rPr>
        <w:t xml:space="preserve">к Методологии разработки отраслевой рамки квалификаций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Пример отраслевой рамки квалификаций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Общая информация об отрасли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5"/>
        <w:gridCol w:w="6943"/>
      </w:tblGrid>
      <w:tr>
        <w:tc>
          <w:tcPr>
            <w:tcW w:type="dxa" w:w="3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отраслевой рамки квалификаций (секция, подсекция, раздел вида экономической деятельности)</w:t>
            </w:r>
          </w:p>
        </w:tc>
        <w:tc>
          <w:tcPr>
            <w:tcW w:type="dxa" w:w="6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ОРК090QA86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отрасли</w:t>
            </w:r>
          </w:p>
        </w:tc>
        <w:tc>
          <w:tcPr>
            <w:tcW w:type="dxa" w:w="6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Основные цели отрасли</w:t>
            </w:r>
          </w:p>
        </w:tc>
        <w:tc>
          <w:tcPr>
            <w:tcW w:type="dxa" w:w="6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Охрана и укрепление здоровья граждан</w:t>
            </w:r>
          </w:p>
        </w:tc>
      </w:tr>
      <w:tr>
        <w:tc>
          <w:tcPr>
            <w:tcW w:type="dxa" w:w="3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Перечень основных нормативных правовых актов, в рамках которых осуществляется деятельность отрасли</w:t>
            </w:r>
          </w:p>
        </w:tc>
        <w:tc>
          <w:tcPr>
            <w:tcW w:type="dxa" w:w="6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ОКЗ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Приказ Министерства здравоохранения Кыргызской Республики "Об утверждении номенклатуры медицинских и фармацевтических специальностей, номенклатуры должностей и перечня соответствия медицинских и фармацевтических должностей в организациях здравоохранения Кыргызской Республики" от 30 мая 2018 года № 387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Список должностей, профессий отрасли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9"/>
        <w:gridCol w:w="1618"/>
        <w:gridCol w:w="1622"/>
        <w:gridCol w:w="2394"/>
        <w:gridCol w:w="1348"/>
        <w:gridCol w:w="1877"/>
      </w:tblGrid>
      <w:tr>
        <w:tc>
          <w:tcPr>
            <w:tcW w:type="dxa" w:w="13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Руководители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высшего уровня квалификации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Специалисты среднего уровня квалификации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Служащие, занятые подготовкой и оформлением документации, учетом и обслуживанием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Другие категории работников отрасли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Неквалифицированные рабочие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Отраслевые должности, профессии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больницы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Врачи (по направлениям)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Медсестра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Санитарка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Сиделка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Главврач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Ординатор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Старшая медсестра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Зубной техник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Няня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отделением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Провизор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Фельдшер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Регистратор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Администратор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Главная медсестра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аптеки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Статист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Ортодонт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Фармацевт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Межотраслевые должности, профессии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 администратор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Кассир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Уборщица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столовой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Программист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Повар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Сторож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энергетик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Комендант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Грузчик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Кладовщик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Посудомойщица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Прачка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Утюжница</w:t>
            </w:r>
          </w:p>
        </w:tc>
      </w:tr>
      <w:tr>
        <w:tc>
          <w:tcPr>
            <w:tcW w:type="dxa" w:w="1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Лифтер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Структура отраслевой рамки квалификаций для 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9"/>
        <w:gridCol w:w="690"/>
        <w:gridCol w:w="692"/>
        <w:gridCol w:w="1936"/>
        <w:gridCol w:w="1889"/>
        <w:gridCol w:w="1382"/>
        <w:gridCol w:w="2150"/>
      </w:tblGrid>
      <w:tr>
        <w:tc>
          <w:tcPr>
            <w:tcW w:type="dxa" w:w="1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Личностные компетенции (самостоятельность, ответственность, коммуникация)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7.1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больницы, главврач, заведующий отделением, администратор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7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(специалитет, магистратура) 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Врачи (по направлениям) ординатор, провизор, главная медсестра, статист, директор аптеки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7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(специалитет, ординатура) или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Врачи общественного здравоохранения, стоматолог, провизор, главная медсестра, статист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6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(бакалавриат, магистратура) или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Медсестра, старшая медсестра, фельдшер, лаборант, ортодонт, фармацевт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6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 или опыт работы в отрасли и/или дополнительное профессиональное образование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Структура отраслевой рамки квалификаций для межотраслевых должностей и профессий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
 (код и наименование отрасли)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9"/>
        <w:gridCol w:w="792"/>
        <w:gridCol w:w="792"/>
        <w:gridCol w:w="1755"/>
        <w:gridCol w:w="1482"/>
        <w:gridCol w:w="1455"/>
        <w:gridCol w:w="2374"/>
      </w:tblGrid>
      <w:tr>
        <w:tc>
          <w:tcPr>
            <w:tcW w:type="dxa" w:w="1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Уровни, подуровни отраслевой рамки квалификаций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Знания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Навыки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Личные компетенции (ответственность, самостоятельность коммуникация)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Наименования должностей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уровень квалификации по НРК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Пути достижения уровня квалификации</w:t>
            </w:r>
          </w:p>
        </w:tc>
      </w:tr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 администратор, директор столовой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7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(специалитет, магистратура) и опыт работы в отрасли и/или дополнительное профессиональное образование</w:t>
            </w:r>
          </w:p>
        </w:tc>
      </w:tr>
      <w:tr>
        <w:tc>
          <w:tcPr>
            <w:tcW w:type="dxa" w:w="1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бухгалтер, программист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ниже 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ВПО (бакалавриат, магистратура) или опыт работы в отрасли и/или дополнительное профессиональное образование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Информация о разработке отраслевой рамки квалификаций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7"/>
        <w:gridCol w:w="2001"/>
        <w:gridCol w:w="2001"/>
      </w:tblGrid>
      <w:tr>
        <w:tc>
          <w:tcPr>
            <w:tcW w:type="dxa" w:w="6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разработчика (отраслевой совет/профессиональное объединение/бизнес-ассоциация и др.)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разработки отраслевой рамки квалификаций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действия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Участники разработки: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и наименование организации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ВПО 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НРК - национальная рамка квалификаций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ОКЗ - Общереспубликанский классификатор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ОРК - отраслевая рамка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СПО - среднее профессиональное образование.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fbgcis73wprpmxd5l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dalil.kg/document/158556</w:t>
      </w:r>
    </w:hyperlink>
  </w:p>
  <w:p>
    <w:pPr>
      <w:spacing w:after="0" w:before="40"/>
      <w:jc w:val="center"/>
    </w:pPr>
    <w:hyperlink w:history="1" r:id="rIdbi_vo0esdcoxnhtllhq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vwsttjgl6jni88eahwj" Type="http://schemas.openxmlformats.org/officeDocument/2006/relationships/hyperlink" Target="https://dalil.kg/document/158554" TargetMode="External"/><Relationship Id="rIdftckf-kre8-woayto9pke" Type="http://schemas.openxmlformats.org/officeDocument/2006/relationships/hyperlink" Target="https://dalil.kg/document/430002" TargetMode="External"/><Relationship Id="rIdnl7yrdeahen21gcdd_pv0" Type="http://schemas.openxmlformats.org/officeDocument/2006/relationships/hyperlink" Target="https://dalil.kg/document/1216" TargetMode="External"/><Relationship Id="rIdqccoy4ep8vm-opyi-lepi" Type="http://schemas.openxmlformats.org/officeDocument/2006/relationships/hyperlink" Target="https://dalil.kg/document/157131" TargetMode="External"/><Relationship Id="rId_ltynthcz9ic-3lestw0s" Type="http://schemas.openxmlformats.org/officeDocument/2006/relationships/hyperlink" Target="https://dalil.kg/document/157130" TargetMode="External"/><Relationship Id="rId721ljmw11tygliz1qscit" Type="http://schemas.openxmlformats.org/officeDocument/2006/relationships/hyperlink" Target="https://dalil.kg/document/157131" TargetMode="External"/><Relationship Id="rIdj0dea-kzkkddip46zyvxk" Type="http://schemas.openxmlformats.org/officeDocument/2006/relationships/hyperlink" Target="https://dalil.kg/document/218084" TargetMode="External"/><Relationship Id="rIdw53uehtmju1g0ui7ffaq5" Type="http://schemas.openxmlformats.org/officeDocument/2006/relationships/hyperlink" Target="https://dalil.kg/document/158556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fbgcis73wprpmxd5lu0" Type="http://schemas.openxmlformats.org/officeDocument/2006/relationships/hyperlink" Target="https://dalil.kg/document/158556" TargetMode="External"/><Relationship Id="rIdbi_vo0esdcoxnhtllhq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2026-10-01T03:03:18.054Z</dcterms:created>
  <dcterms:modified xsi:type="dcterms:W3CDTF">2026-10-01T03:03:18.054Z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