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2021 года № 97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Бюджетный кодекс Кыргызской Республики, Закон Кыргызской Республики "Об образовании")"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pu0aavxu6o4ioqxuowej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cjabiyaanfyc_n6vpfpj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Бюджетный </w:t>
      </w:r>
      <w:hyperlink w:history="1" r:id="rIdcidcmsy9istmx24qjxqr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ky514aopwumvvdpbvxym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образовании")", инициированный депутатом Жогорку Кенеша Кыргызской Республики Мамашовой А.Т.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Кабинета Министров Кыргызской Республики
 от 30 июля 2021 года № 97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Заключение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Кабинета Министров Кыргызской Республики на проект Закона Кыргызской Республики "О внесении изменений в некоторые законодательные акты Кыргызской Республики (в Бюджетный кодекс Кыргызской Республики, Закон Кыргызской Республики "Об образовании")"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hyperlink w:history="1" r:id="rId4twxevi4_us1isednnw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31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Республики, рассмотрев проект Закона Кыргызской Республики "О внесении изменений в некоторые законодательные акты Кыргызской Республики (в Бюджетный </w:t>
      </w:r>
      <w:hyperlink w:history="1" r:id="rIdru-lby_a9qmksl1_y95y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9ttist4hlexkl-libswi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образовании")", инициированный депутатом Жогорку Кенеша Кыргызской Республики Мамашовой А.Т. (далее - законопроект),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Пунктом 1 статьи 1 законопроекта предлагается </w:t>
      </w:r>
      <w:hyperlink w:history="1" r:id="rIdrhdqmgnv_wwcqckn2gde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2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дополнить пунктом 24-1, предусматривающим новое понятие "доходы от учебно-производственной деятельности", под которым подразумеваются "средства, получаемые бюджетным учреждением профессионального образования от учебно-производственной деятельности, направленной на достижение уставных целей и задач учреждения".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обращаем внимание, что в соответствии с частью 1 </w:t>
      </w:r>
      <w:hyperlink w:history="1" r:id="rIdrvwyjp4h95gjvzpdq7rk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18</w:t>
        </w:r>
      </w:hyperlink>
      <w:r>
        <w:rPr>
          <w:rFonts w:ascii="Arial" w:cs="Arial" w:eastAsia="Arial" w:hAnsi="Arial"/>
          <w:sz w:val="24"/>
          <w:szCs w:val="24"/>
        </w:rPr>
        <w:t xml:space="preserve"> указанного Кодекса доходами республиканского и местных бюджетов являются поступающие в соответствующие бюджеты Кыргызской Республики денежные средства в виде налогов, неналоговых платежей, взносов, отчислений и сборов, установленных нормативными правовыми актами Кыргызской Республики, а также в виде полученных трансфертов.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Также, глава 9 названного Кодекса регулирует вопросы распределения доходов между республиканским и местными бюджетами.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частности, согласно статьям </w:t>
      </w:r>
      <w:hyperlink w:history="1" r:id="rIdra2ejtnypqjcwyh0noer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46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jbeoa6sfeio99aaz6j8y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47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xuqrjxxsw_aekkgxwks_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48</w:t>
        </w:r>
      </w:hyperlink>
      <w:r>
        <w:rPr>
          <w:rFonts w:ascii="Arial" w:cs="Arial" w:eastAsia="Arial" w:hAnsi="Arial"/>
          <w:sz w:val="24"/>
          <w:szCs w:val="24"/>
        </w:rPr>
        <w:t xml:space="preserve"> упомянутого Кодекса, доходы подразделяются на: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общегосударственные доходы;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республиканского бюджета;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доходы местных бюджетов.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во избежание затруднений в правоприменительной практике предлагаем четко определить, к какому из перечисленных доходов относятся доходы от учебно-производственной деятельности, а также в справке-обосновании к законопроекту следует уточнить, какие именно средства относятся к средствам, получаемым бюджетным учреждением профессионального образования от учебно-производственной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Учитывая вышеизложенное, пункт 1 статьи 1 законопроекта предлагаем дополнительно проанализировать и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Подпунктом "в" пункта 2 статьи 1 законопроекта предлагается в части 6 </w:t>
      </w:r>
      <w:hyperlink w:history="1" r:id="rIdrfhs1dr25nxscx_9laxk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Бюджетного кодекса Кыргызской Республики исключить слово "специальные". Кроме этого, пунктом 3 статьи 1 законопроекта предлагается главу 21 указанного Кодекса дополнить статьей 105-1, регулирующей вопросы специальных счетов бюджетных учреждений.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 законопроектом предлагается исключить специальные счета из единого казначейского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Между тем отмечаем, что пунктом 3 части 1 </w:t>
      </w:r>
      <w:hyperlink w:history="1" r:id="rIdvjq8x1s-b6xj9myp9gx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6</w:t>
        </w:r>
      </w:hyperlink>
      <w:r>
        <w:rPr>
          <w:rFonts w:ascii="Arial" w:cs="Arial" w:eastAsia="Arial" w:hAnsi="Arial"/>
          <w:sz w:val="24"/>
          <w:szCs w:val="24"/>
        </w:rPr>
        <w:t xml:space="preserve"> упомянутого Кодекса установлен принцип единства бюджетной системы Кыргызской Республики, который означает зачисление всех ресурсов бюджета и осуществление всех расходов бюджета с единого казначейского счета, за исключением операций по исполнению бюджетов, осуществляемых за пределами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Принимая во внимание вышеизложенное, считаем нецелесообразным исключение специальных счетов из единого казначейского счета.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Статьей 3 законопроекта Кабинету Министров Кыргызской Республики поручается в трехмесячный срок привести свои решения в соответствие с данным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соответствии со статьей 24 </w:t>
      </w:r>
      <w:hyperlink w:history="1" r:id="rIdk4crnexpwkdtgqan_grw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в случаях если для применения нормативного правового акта необходимо внесение изменений и дополнений в другие нормативные правовые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 в справке-обосновании к законопроекту отсутствует информация о нормативных правовых актах, которые необходимо будет привести в соответствие после принятия рассматриваемого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предлагаем дополнить справку-обоснование к законопроекту информацией о необходимости внесения соответствующих изменений в нормативные правовые акты и разработки соответствующих актов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отмечаем, что оформление законопроекта следует привести в соответствие с пунктами 40, 41, 42, 43 и 55 </w:t>
      </w:r>
      <w:hyperlink w:history="1" r:id="rIdtzoohrrzbinm8nu1r4jv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uxr4ctmxti-f5oh0n_od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Кабинет Министров Кыргызской Республики считает принятие указанного законопроекта нецелесообразным.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gwyesmyxi5czxbhvqh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dalil.kg/document/158564</w:t>
      </w:r>
    </w:hyperlink>
  </w:p>
  <w:p>
    <w:pPr>
      <w:spacing w:after="0" w:before="40"/>
      <w:jc w:val="center"/>
    </w:pPr>
    <w:hyperlink w:history="1" r:id="rIdz-avgw7lytuoxw-afwpa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0aavxu6o4ioqxuowejg" Type="http://schemas.openxmlformats.org/officeDocument/2006/relationships/hyperlink" Target="https://dalil.kg/document/203685#st_31" TargetMode="External"/><Relationship Id="rIdcjabiyaanfyc_n6vpfpj4" Type="http://schemas.openxmlformats.org/officeDocument/2006/relationships/hyperlink" Target="https://dalil.kg/document/158564#pr" TargetMode="External"/><Relationship Id="rIdcidcmsy9istmx24qjxqrt" Type="http://schemas.openxmlformats.org/officeDocument/2006/relationships/hyperlink" Target="https://dalil.kg/document/111338" TargetMode="External"/><Relationship Id="rIdky514aopwumvvdpbvxymw" Type="http://schemas.openxmlformats.org/officeDocument/2006/relationships/hyperlink" Target="https://dalil.kg/document/1216" TargetMode="External"/><Relationship Id="rId4twxevi4_us1isednnwtq" Type="http://schemas.openxmlformats.org/officeDocument/2006/relationships/hyperlink" Target="https://dalil.kg/document/203685#st_31" TargetMode="External"/><Relationship Id="rIdru-lby_a9qmksl1_y95yw" Type="http://schemas.openxmlformats.org/officeDocument/2006/relationships/hyperlink" Target="https://dalil.kg/document/111338" TargetMode="External"/><Relationship Id="rId9ttist4hlexkl-libswif" Type="http://schemas.openxmlformats.org/officeDocument/2006/relationships/hyperlink" Target="https://dalil.kg/document/1216" TargetMode="External"/><Relationship Id="rIdrhdqmgnv_wwcqckn2gdev" Type="http://schemas.openxmlformats.org/officeDocument/2006/relationships/hyperlink" Target="https://dalil.kg/document/111338#st_2" TargetMode="External"/><Relationship Id="rIdrvwyjp4h95gjvzpdq7rkb" Type="http://schemas.openxmlformats.org/officeDocument/2006/relationships/hyperlink" Target="https://dalil.kg/document/111338#st_18" TargetMode="External"/><Relationship Id="rIdra2ejtnypqjcwyh0noerd" Type="http://schemas.openxmlformats.org/officeDocument/2006/relationships/hyperlink" Target="https://dalil.kg/document/111338#st_46" TargetMode="External"/><Relationship Id="rIdjbeoa6sfeio99aaz6j8yq" Type="http://schemas.openxmlformats.org/officeDocument/2006/relationships/hyperlink" Target="https://dalil.kg/document/111338#st_47" TargetMode="External"/><Relationship Id="rIdxuqrjxxsw_aekkgxwks_r" Type="http://schemas.openxmlformats.org/officeDocument/2006/relationships/hyperlink" Target="https://dalil.kg/document/111338#st_48" TargetMode="External"/><Relationship Id="rIdrfhs1dr25nxscx_9laxkw" Type="http://schemas.openxmlformats.org/officeDocument/2006/relationships/hyperlink" Target="https://dalil.kg/document/111338#st_5" TargetMode="External"/><Relationship Id="rIdvjq8x1s-b6xj9myp9gxto" Type="http://schemas.openxmlformats.org/officeDocument/2006/relationships/hyperlink" Target="https://dalil.kg/document/111338#st_6" TargetMode="External"/><Relationship Id="rIdk4crnexpwkdtgqan_grwq" Type="http://schemas.openxmlformats.org/officeDocument/2006/relationships/hyperlink" Target="https://dalil.kg/document/202591" TargetMode="External"/><Relationship Id="rIdtzoohrrzbinm8nu1r4jvs" Type="http://schemas.openxmlformats.org/officeDocument/2006/relationships/hyperlink" Target="https://dalil.kg/document/76491" TargetMode="External"/><Relationship Id="rIduxr4ctmxti-f5oh0n_odx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2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gwyesmyxi5czxbhvqh7o" Type="http://schemas.openxmlformats.org/officeDocument/2006/relationships/hyperlink" Target="https://dalil.kg/document/158564" TargetMode="External"/><Relationship Id="rIdz-avgw7lytuoxw-afwpa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2026-10-01T02:19:04.095Z</dcterms:created>
  <dcterms:modified xsi:type="dcterms:W3CDTF">2026-10-01T02:19:04.095Z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