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</w:t>
      </w:r>
      <w:hyperlink w:history="1" r:id="rIdhkw3anj_be-6ygfyiu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Министров КР от 22 февраля 2022 года № 93</w:t>
        </w:r>
      </w:hyperlink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внесении изменений в некоторые решения Правительства Кыргызской Республики в сфере налоговой политики»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"О внесении изменений в некоторые законодательные акты по вопросам чистого воздуха и совершенствования налогового администрирования" </w:t>
      </w:r>
      <w:r>
        <w:rPr>
          <w:rFonts w:ascii="Arial" w:cs="Arial" w:eastAsia="Arial" w:hAnsi="Arial"/>
          <w:sz w:val="24"/>
          <w:szCs w:val="24"/>
        </w:rPr>
        <w:t xml:space="preserve">от 12 </w:t>
      </w:r>
      <w:hyperlink w:history="1" r:id="rIdf1utckivyfe2tki0re6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августа</w:t>
        </w:r>
      </w:hyperlink>
      <w:r>
        <w:rPr>
          <w:rFonts w:ascii="Arial" w:cs="Arial" w:eastAsia="Arial" w:hAnsi="Arial"/>
          <w:sz w:val="24"/>
          <w:szCs w:val="24"/>
        </w:rPr>
        <w:t xml:space="preserve"> 2020 года № 122</w:t>
      </w:r>
      <w:r>
        <w:rPr>
          <w:rFonts w:ascii="Arial" w:cs="Arial" w:eastAsia="Arial" w:hAnsi="Arial"/>
          <w:sz w:val="24"/>
          <w:szCs w:val="24"/>
        </w:rPr>
        <w:t xml:space="preserve">, "О внесении изменений в Налоговый </w:t>
      </w:r>
      <w:hyperlink w:history="1" r:id="rIdwg0zjsmmibeyo5astq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hyperlink w:history="1" r:id="rIddqjf7vzzwm1k1q4hwdr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августа 2020 года № 141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4bv-241cn1x9ekilpx1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kqs7u9lfg5-dudql7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_2mht9wlprqofu5lc12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k3gsfcg_sut0vnvx2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m4smqgudfmwrnv_om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и представления формы отчета по косвенным налогам, утвержденном вышеуказанным </w:t>
      </w:r>
      <w:hyperlink w:history="1" r:id="rIdoiuy2ojdsiak8cwb1b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70-77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В ячейке 403 указывается итоговая сумма начисления акцизного налога на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неароматических: бензол для использования в качестве топлива, исчисленная согласно статье 37 Налогового кодекса Кыргызской Республики. При отражении данных в графе "Облагаемый объем" следует указывать объемы масел и других продуктов высокотемпературной перегонки каменноугольной смолы, аналогичных продуктов, в которых масса ароматических составных частей превышает массу неароматических: бензол для использования в качестве топлива,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ячейке 404 указывается итоговая сумма начисления акцизного налога на газовый конденсат природный: газовый конденсат стабильной плотности при 20 ºС не менее 650 кг/м3, но не более 850 кг/м3 и с содержанием серы не более 1,0 мас.%, прочий, исчисленная согласно </w:t>
      </w:r>
      <w:hyperlink w:history="1" r:id="rIdpddmkydyvsvihecuss6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объем газового конденсата природного: газового конденсата стабильной плотности при 20 ºС не менее 650 кг/м3, но не более 850 кг/м3 и с содержанием серы не более 1,0 мас.%, прочий,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ячейке 405 указывается итоговая сумма начисления акцизного налога на нефть сырую и нефтепродукты сырые, полученные из битуминозных материалов, исчисленная согласно </w:t>
      </w:r>
      <w:hyperlink w:history="1" r:id="rIdbdexgwyde5j9zmbm-5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</w:hyperlink>
      <w:r>
        <w:rPr>
          <w:rFonts w:ascii="Arial" w:cs="Arial" w:eastAsia="Arial" w:hAnsi="Arial"/>
          <w:sz w:val="24"/>
          <w:szCs w:val="24"/>
        </w:rPr>
        <w:t xml:space="preserve"> 37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объем нефти сырой и нефтепродуктов сырых, полученных из битуминозных материалов,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строке 406 указывается итоговая сумма начисления акцизного налога на бензины моторные, специальные, легкие и средние дистилляты; прочие бензины и дистилляты, исчисленная согласно </w:t>
      </w:r>
      <w:hyperlink w:history="1" r:id="rIdixicvpkx1fuxahfhbfc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объемы бензинов моторных, специальных, легких и средних дистиллятов; прочих бензинов и дистиллятов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строке 407 указывается итоговая сумма начисления акцизного налога на прочие нефтепродукты (биотопливо, топливо экологическое, смесь легких дистиллятов), исчисленная согласно </w:t>
      </w:r>
      <w:hyperlink w:history="1" r:id="rIdun2luu-mwo_n4kxqa4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объем прочих нефтепродуктов (биотопливо, топливо экологическое, смесь легких дистиллятов),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строке 408 указывается итоговая сумма начисления акцизного налога на топливо для реактивных двигателей, исчисленная согласно </w:t>
      </w:r>
      <w:hyperlink w:history="1" r:id="rIdblai2ea0xpimo7vw2n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топлива для реактивных двигателей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строке 409 указывается итоговая сумма начисления акцизного налога на дизельное топливо, газойли, тяжелые дистилляты, исчисленная согласно </w:t>
      </w:r>
      <w:hyperlink w:history="1" r:id="rIdjsou4wcfxwqcpyvkgs9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дизельного топлива, газойля, тяжелых дистиллятов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строке 410 указывается итоговая сумма начисления акцизного налога на мазут, исчисленная согласно </w:t>
      </w:r>
      <w:hyperlink w:history="1" r:id="rIdiu2wh5u4x2fvukldxoy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мазута следует указывать в тоннах.";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77-1 - 77-6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"77-1. В строке 411 указывается итоговая сумма начисления акцизного налога на масла смазочные, масла прочие, исчисленная согласно </w:t>
      </w:r>
      <w:hyperlink w:history="1" r:id="rId1r2krqqnzwqui_mzwq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масел смазочных, масел прочих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77-2. В строке 412 указывается итоговая сумма начисления акцизного налога на прочие антидетонаторы на основе соединений свинца, используемые в тех же целях, что и нефтепродукты, исчисленная согласно </w:t>
      </w:r>
      <w:hyperlink w:history="1" r:id="rId_wqlqzufpbvqcj48t3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прочих антидетонаторов на основе соединений свинца, используемых в тех же целях, что и нефтепродукты,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77-3. В строке 413 указывается итоговая сумма начисления акцизного налога на присадки к смазочным маслам, содержащие нефть или нефтепродукты, полученные из битуминозных пород, исчисленная согласно </w:t>
      </w:r>
      <w:hyperlink w:history="1" r:id="rIdo1ycpz63uumcgd9d-w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присадок к смазочным маслам, содержащих нефть или нефтепродукты, полученные из битуминозных пород,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77-4. В строке 420 указывается суммарный итог начисления акцизного налога, указанного в строках 401-413. Итоговые значения графы "Облагаемый объем" указываются в соответствии с единицами измерения (штуки, тыс. штук, кг, миллилитры, литры, тонны).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77-5. Заполнение ячеек 421-423 раздела II "Депозит" осуществляется субъектом, осуществившим импорт сырья для производства подакцизных товаров на давальческой основе, с последующим экспортом подакцизной продукции за пределы Кыргызской Республики, в случаях, когда налогоплательщик, осуществляющий производство подакцизных товаров на давальческой основе, освобожден от уплаты акцизного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соответствии с нормами </w:t>
      </w:r>
      <w:hyperlink w:history="1" r:id="rIdhwqtltehsz5m-nxgnq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налогоплательщиком акцизного налога является субъект, который производит, в том числе на давальческой основе, подакцизные товары на территории Кыргызской Республики и/или импортирует подакцизные товары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субъектов от уплаты акцизного налога в части производства подакцизных товаров на давальческой основе налогоплательщиком акцизного налога является владелец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77-6. При заполнении ячеек 421-423 следует указывать данные за отчетный месяц. В ячейке 421 отражаются суммы акцизного налога, внесенные на депозитный счет в течение отчетного периода. В ячейке 422 указываются суммы акциза, ранее внесенные на депозитный счет, по которым не представлены документы, подтверждающие экспорт подакцизной продукции, и срок представления которых истек. В ячейке 423 указываются суммы акциза, по которым в отчетном периоде представлены соответствующие документы, подтверждающие экспорт подакцизной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91 после слов "в 1000 штуках," дополнить словом "штуках,";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121 после слов "изделий в" дополнить словами "миллилитрах или".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_jhvdknxdjiyevaln4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ao7nkd31z-k6v298t2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_bv0dro2nwsx8wqsan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"200-299 "Освобожденные поставки" таблицы подпункта 4 пункта 45 дополнить позицией 233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950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9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транспортных средств, приводимых в движение только электрическим двигателем, производимых на предприятиях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bend9ksr0tqopmrwvw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цифры "135" заменить цифрами "138";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цифры "136" заменить цифрами "139";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цифры "137" заменить цифрами "140";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заполнения и представления отчета по роялти (FORM STI-138, FORM STI-139 и FORM STI-140) согласно приложению 12.";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отчета по роялти субъекта малого предпринимательства (FORM STI-138), утвержденную вышеуказанным постановлением, изложить в редакции согласно приложению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отчета по роялти субъекта среднего предпринимательства (FORM STI-139), утвержденную вышеуказанным постановлением, изложить в редакции согласно приложению 2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отчета по роялти (за исключением субъекта малого, среднего предпринимательства) (FORM STI-140), утвержденную вышеуказанным постановлением, изложить в редакции согласно приложению 3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n6loq706b0fhkqlt4l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роялти (FORM STI-138, 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-139 и FORM STI-140), утвержденном вышеуказанным </w:t>
      </w:r>
      <w:hyperlink w:history="1" r:id="rIdw8kybhvpdtlczbjchu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цифры "074, 075, 076,"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 ячейках 068, 071, 077, 080, 083, 086 и 089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выручка без учета НДС и налога с продаж, полученная от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полезных ископаемых, за исключением металлосодержащих руд и концентратов биржевых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полученной в результате переработки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химически чистого металла, содержащегося в металлосодержащей руде или концентрате биржевого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химически чистого металла, содержащегося в металлосодержащей руде или концентрате биржевого металла, ниже выручки, полученной от реализации металлосодержащих руд и концентратов биржевых металлов, то в качестве налоговой базы роялти применяется выручка, полученная от реализации металлосодержащих руд и концентратов биржевых металлов.";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цифры "075,"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"074,"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"076,"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В ячейках 068, 071, 077, 080, 083, 086 и 089 указываются:";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 и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выручка без учета НДС и налога с продаж, полученная от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полезных ископаемых, за исключением металлосодержащих руд и концентратов биржевых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полученной в результате переработки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химически чистого металла, содержащегося в металлосодержащей руде или концентрате биржевого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химически чистого металла, содержащегося в металлосодержащей руде или концентрате биржевого металла, ниже выручки, полученной от реализации металлосодержащих руд и концентратов биржевых металлов, то в качестве налоговой базы роялти применяется выручка, полученная от реализации металлосодержащих руд и концентратов биржевых металлов:";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цифры "075,"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цифры "174,", "224,", "274,"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цифры "175,", "225,", "275,"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цифры "174,"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цифры "224,"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цифры "274,"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 цифры "176,"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цифры "226,"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цифры "276,"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vg0wtqden_0shozm4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роялти субъекта малого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sjor72mgd1ir7-t7y0z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STI-13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роялти для субъектов среднего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3ayijllqoaq_cy7jsd_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роялти (за исключением субъекта малого, среднего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lmf4bndav5u5i2ujq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dalil.kg/document/158628</w:t>
      </w:r>
    </w:hyperlink>
  </w:p>
  <w:p>
    <w:pPr>
      <w:spacing w:after="0" w:before="40"/>
      <w:jc w:val="center"/>
    </w:pPr>
    <w:hyperlink w:history="1" r:id="rIdtte4ai22rhcgpu0xudp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w3anj_be-6ygfyiucyy" Type="http://schemas.openxmlformats.org/officeDocument/2006/relationships/hyperlink" Target="https://dalil.kg/document/158988" TargetMode="External"/><Relationship Id="rIdf1utckivyfe2tki0re6a_" Type="http://schemas.openxmlformats.org/officeDocument/2006/relationships/hyperlink" Target="https://dalil.kg/document/112068" TargetMode="External"/><Relationship Id="rIdwg0zjsmmibeyo5astqeqr" Type="http://schemas.openxmlformats.org/officeDocument/2006/relationships/hyperlink" Target="https://dalil.kg/document/202445" TargetMode="External"/><Relationship Id="rIddqjf7vzzwm1k1q4hwdrhe" Type="http://schemas.openxmlformats.org/officeDocument/2006/relationships/hyperlink" Target="https://dalil.kg/document/112082" TargetMode="External"/><Relationship Id="rId4bv-241cn1x9ekilpx1gk" Type="http://schemas.openxmlformats.org/officeDocument/2006/relationships/hyperlink" Target="https://dalil.kg/document/202445#st_85" TargetMode="External"/><Relationship Id="rIdckqs7u9lfg5-dudql7a4w" Type="http://schemas.openxmlformats.org/officeDocument/2006/relationships/hyperlink" Target="https://dalil.kg/document/202445#st_86" TargetMode="External"/><Relationship Id="rId_2mht9wlprqofu5lc12s3" Type="http://schemas.openxmlformats.org/officeDocument/2006/relationships/hyperlink" Target="https://dalil.kg/document/203685#st_10" TargetMode="External"/><Relationship Id="rIddk3gsfcg_sut0vnvx2yqu" Type="http://schemas.openxmlformats.org/officeDocument/2006/relationships/hyperlink" Target="https://dalil.kg/document/203685#st_17" TargetMode="External"/><Relationship Id="rIdnm4smqgudfmwrnv_omuiu" Type="http://schemas.openxmlformats.org/officeDocument/2006/relationships/hyperlink" Target="https://dalil.kg/document/97580" TargetMode="External"/><Relationship Id="rIdoiuy2ojdsiak8cwb1blfh" Type="http://schemas.openxmlformats.org/officeDocument/2006/relationships/hyperlink" Target="https://dalil.kg/document/97580" TargetMode="External"/><Relationship Id="rIdpddmkydyvsvihecuss67k" Type="http://schemas.openxmlformats.org/officeDocument/2006/relationships/hyperlink" Target="https://dalil.kg/document/202445#st_37" TargetMode="External"/><Relationship Id="rIdbdexgwyde5j9zmbm-5ggc" Type="http://schemas.openxmlformats.org/officeDocument/2006/relationships/hyperlink" Target="https://dalil.kg/document/202445#st_37" TargetMode="External"/><Relationship Id="rIdixicvpkx1fuxahfhbfc9l" Type="http://schemas.openxmlformats.org/officeDocument/2006/relationships/hyperlink" Target="https://dalil.kg/document/202445#st_37" TargetMode="External"/><Relationship Id="rIdun2luu-mwo_n4kxqa4uhj" Type="http://schemas.openxmlformats.org/officeDocument/2006/relationships/hyperlink" Target="https://dalil.kg/document/202445#st_37" TargetMode="External"/><Relationship Id="rIdblai2ea0xpimo7vw2nxao" Type="http://schemas.openxmlformats.org/officeDocument/2006/relationships/hyperlink" Target="https://dalil.kg/document/202445#st_37" TargetMode="External"/><Relationship Id="rIdjsou4wcfxwqcpyvkgs9m6" Type="http://schemas.openxmlformats.org/officeDocument/2006/relationships/hyperlink" Target="https://dalil.kg/document/202445#st_37" TargetMode="External"/><Relationship Id="rIdiu2wh5u4x2fvukldxoyf0" Type="http://schemas.openxmlformats.org/officeDocument/2006/relationships/hyperlink" Target="https://dalil.kg/document/202445#st_37" TargetMode="External"/><Relationship Id="rId1r2krqqnzwqui_mzwqtpy" Type="http://schemas.openxmlformats.org/officeDocument/2006/relationships/hyperlink" Target="https://dalil.kg/document/202445#st_37" TargetMode="External"/><Relationship Id="rId_wqlqzufpbvqcj48t3ep3" Type="http://schemas.openxmlformats.org/officeDocument/2006/relationships/hyperlink" Target="https://dalil.kg/document/202445#st_37" TargetMode="External"/><Relationship Id="rIdo1ycpz63uumcgd9d-wkdq" Type="http://schemas.openxmlformats.org/officeDocument/2006/relationships/hyperlink" Target="https://dalil.kg/document/202445#st_37" TargetMode="External"/><Relationship Id="rIdhwqtltehsz5m-nxgnqens" Type="http://schemas.openxmlformats.org/officeDocument/2006/relationships/hyperlink" Target="https://dalil.kg/document/202445#st_283" TargetMode="External"/><Relationship Id="rIdu_jhvdknxdjiyevaln46x" Type="http://schemas.openxmlformats.org/officeDocument/2006/relationships/hyperlink" Target="https://dalil.kg/document/97898" TargetMode="External"/><Relationship Id="rIdeao7nkd31z-k6v298t2dd" Type="http://schemas.openxmlformats.org/officeDocument/2006/relationships/hyperlink" Target="https://dalil.kg/document/97898#pr2" TargetMode="External"/><Relationship Id="rId_bv0dro2nwsx8wqsannv1" Type="http://schemas.openxmlformats.org/officeDocument/2006/relationships/hyperlink" Target="https://dalil.kg/document/97898" TargetMode="External"/><Relationship Id="rIdpbend9ksr0tqopmrwvw1l" Type="http://schemas.openxmlformats.org/officeDocument/2006/relationships/hyperlink" Target="https://dalil.kg/document/99060" TargetMode="External"/><Relationship Id="rIdn6loq706b0fhkqlt4lpcp" Type="http://schemas.openxmlformats.org/officeDocument/2006/relationships/hyperlink" Target="https://dalil.kg/document/99060#pr12" TargetMode="External"/><Relationship Id="rIdw8kybhvpdtlczbjchuywc" Type="http://schemas.openxmlformats.org/officeDocument/2006/relationships/hyperlink" Target="https://dalil.kg/document/99060" TargetMode="External"/><Relationship Id="rIduvg0wtqden_0shozm4ofx" Type="http://schemas.openxmlformats.org/officeDocument/2006/relationships/hyperlink" Target="https://dalil.kg/document/99060#pr9" TargetMode="External"/><Relationship Id="rIdsjor72mgd1ir7-t7y0zbc" Type="http://schemas.openxmlformats.org/officeDocument/2006/relationships/hyperlink" Target="https://dalil.kg/document/99060#pr10" TargetMode="External"/><Relationship Id="rId3ayijllqoaq_cy7jsd_7q" Type="http://schemas.openxmlformats.org/officeDocument/2006/relationships/hyperlink" Target="https://dalil.kg/document/99060#pr11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lmf4bndav5u5i2ujqez" Type="http://schemas.openxmlformats.org/officeDocument/2006/relationships/hyperlink" Target="https://dalil.kg/document/158628" TargetMode="External"/><Relationship Id="rIdtte4ai22rhcgpu0xudp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2026-09-24T18:22:34.258Z</dcterms:created>
  <dcterms:modified xsi:type="dcterms:W3CDTF">2026-09-24T18:22:34.258Z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