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 (к постановлению Правительства Кыргызской Республики от 15 сентября 2021 года № 169)</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направления фискальной политики </w:t>
      </w:r>
    </w:p>
    <w:p>
      <w:pPr>
        <w:spacing w:after="240" w:before="200"/>
        <w:jc w:val="center"/>
      </w:pPr>
      <w:r>
        <w:rPr>
          <w:rFonts w:ascii="Arial" w:cs="Arial" w:eastAsia="Arial" w:hAnsi="Arial"/>
          <w:b/>
          <w:bCs/>
          <w:sz w:val="32"/>
          <w:szCs w:val="32"/>
        </w:rPr>
        <w:t xml:space="preserve">Кыргызской Республики на 2022–2024 годы</w:t>
      </w:r>
    </w:p>
    <w:p>
      <w:pPr>
        <w:spacing w:after="120" w:before="240"/>
        <w:ind w:firstLine="709"/>
        <w:jc w:val="both"/>
      </w:pPr>
      <w:r>
        <w:rPr>
          <w:rFonts w:ascii="Arial" w:cs="Arial" w:eastAsia="Arial" w:hAnsi="Arial"/>
          <w:b/>
          <w:bCs/>
          <w:sz w:val="24"/>
          <w:szCs w:val="24"/>
        </w:rPr>
        <w:t xml:space="preserve">1. Введение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Основные направления фискальной политики Кыргызской Республики на 2022–2024 годы разработаны в соответствии со статьей 82 Бюджетного кодекса Кыргызской Республики, с учетом итогов реализации бюджетной политики за 2019–2020 годы и ожидаемой оценки на 2021 год, а также приоритетных направлений Кыргызской Республики на период до 2024 года, определенных в Национальной стратегии развития Кыргызской Республики на 2018–2040 годы. </w:t>
      </w:r>
    </w:p>
    <w:p>
      <w:pPr>
        <w:spacing w:after="120"/>
        <w:ind w:firstLine="709"/>
        <w:jc w:val="both"/>
      </w:pPr>
      <w:r>
        <w:rPr>
          <w:rFonts w:ascii="Arial" w:cs="Arial" w:eastAsia="Arial" w:hAnsi="Arial"/>
          <w:sz w:val="24"/>
          <w:szCs w:val="24"/>
        </w:rPr>
        <w:t xml:space="preserve">Экономическая политика на среднесрочный период преследует цели сохранения положительных тенденций экономического роста, обеспечения устойчивого экономического развития республики, а также будет направлена на стимулирование отраслей экономики, имеющи</w:t>
      </w:r>
      <w:r>
        <w:rPr>
          <w:rFonts w:ascii="Arial" w:cs="Arial" w:eastAsia="Arial" w:hAnsi="Arial"/>
          <w:sz w:val="24"/>
          <w:szCs w:val="24"/>
        </w:rPr>
        <w:t xml:space="preserve">х</w:t>
      </w:r>
      <w:r>
        <w:rPr>
          <w:rFonts w:ascii="Arial" w:cs="Arial" w:eastAsia="Arial" w:hAnsi="Arial"/>
          <w:sz w:val="24"/>
          <w:szCs w:val="24"/>
        </w:rPr>
        <w:t xml:space="preserve"> высокий потенциал для импортозамещения, </w:t>
      </w:r>
      <w:r>
        <w:rPr>
          <w:rFonts w:ascii="Arial" w:cs="Arial" w:eastAsia="Arial" w:hAnsi="Arial"/>
          <w:sz w:val="24"/>
          <w:szCs w:val="24"/>
        </w:rPr>
        <w:t xml:space="preserve">создание рабочих</w:t>
      </w:r>
      <w:r>
        <w:rPr>
          <w:rFonts w:ascii="Arial" w:cs="Arial" w:eastAsia="Arial" w:hAnsi="Arial"/>
          <w:sz w:val="24"/>
          <w:szCs w:val="24"/>
        </w:rPr>
        <w:t xml:space="preserve"> мест и </w:t>
      </w:r>
      <w:r>
        <w:rPr>
          <w:rFonts w:ascii="Arial" w:cs="Arial" w:eastAsia="Arial" w:hAnsi="Arial"/>
          <w:sz w:val="24"/>
          <w:szCs w:val="24"/>
        </w:rPr>
        <w:t xml:space="preserve">повышение </w:t>
      </w:r>
      <w:r>
        <w:rPr>
          <w:rFonts w:ascii="Arial" w:cs="Arial" w:eastAsia="Arial" w:hAnsi="Arial"/>
          <w:sz w:val="24"/>
          <w:szCs w:val="24"/>
        </w:rPr>
        <w:t xml:space="preserve">благосостояния народа. В среднесрочной перспективе ожидается положительная динамика роста ВВП</w:t>
      </w:r>
      <w:r>
        <w:rPr>
          <w:rFonts w:ascii="Arial" w:cs="Arial" w:eastAsia="Arial" w:hAnsi="Arial"/>
          <w:sz w:val="24"/>
          <w:szCs w:val="24"/>
        </w:rPr>
        <w:t xml:space="preserve">, </w:t>
      </w:r>
      <w:r>
        <w:rPr>
          <w:rFonts w:ascii="Arial" w:cs="Arial" w:eastAsia="Arial" w:hAnsi="Arial"/>
          <w:sz w:val="24"/>
          <w:szCs w:val="24"/>
        </w:rPr>
        <w:t xml:space="preserve">в период на 2022–2024 год</w:t>
      </w:r>
      <w:r>
        <w:rPr>
          <w:rFonts w:ascii="Arial" w:cs="Arial" w:eastAsia="Arial" w:hAnsi="Arial"/>
          <w:sz w:val="24"/>
          <w:szCs w:val="24"/>
        </w:rPr>
        <w:t xml:space="preserve">ов</w:t>
      </w:r>
      <w:r>
        <w:rPr>
          <w:rFonts w:ascii="Arial" w:cs="Arial" w:eastAsia="Arial" w:hAnsi="Arial"/>
          <w:sz w:val="24"/>
          <w:szCs w:val="24"/>
        </w:rPr>
        <w:t xml:space="preserve"> прогнозируемые темпы реального роста ВВП составят 6,5 %, 3,9 % и 4,0 % соответственно.</w:t>
      </w:r>
    </w:p>
    <w:p>
      <w:pPr>
        <w:spacing w:after="120"/>
        <w:ind w:firstLine="709"/>
        <w:jc w:val="both"/>
      </w:pPr>
      <w:r>
        <w:rPr>
          <w:rFonts w:ascii="Arial" w:cs="Arial" w:eastAsia="Arial" w:hAnsi="Arial"/>
          <w:sz w:val="24"/>
          <w:szCs w:val="24"/>
        </w:rPr>
        <w:t xml:space="preserve">Среднесрочная фискальная и инвестиционная политика государства будут преследовать цели совершенствования фискального законодательства, обеспечения устойчивости бюджета, борьбы с коронавирусной инфекци</w:t>
      </w:r>
      <w:r>
        <w:rPr>
          <w:rFonts w:ascii="Arial" w:cs="Arial" w:eastAsia="Arial" w:hAnsi="Arial"/>
          <w:sz w:val="24"/>
          <w:szCs w:val="24"/>
        </w:rPr>
        <w:t xml:space="preserve">ей </w:t>
      </w:r>
      <w:r>
        <w:rPr>
          <w:rFonts w:ascii="Arial" w:cs="Arial" w:eastAsia="Arial" w:hAnsi="Arial"/>
          <w:sz w:val="24"/>
          <w:szCs w:val="24"/>
        </w:rPr>
        <w:t xml:space="preserve">COVID-19 и его последствиями, улучшения бюджетного процесса и его прозрачности, повышения эффективности и результативности расходов, мобилизации ресурсов бюджета на приоритетные направления, обеспечивающие экономический рост при сохранении социальной направленности бюджета, приоритезации заимствований на развитие и поддержку экономики, транспортного и энергетического сектор</w:t>
      </w:r>
      <w:r>
        <w:rPr>
          <w:rFonts w:ascii="Arial" w:cs="Arial" w:eastAsia="Arial" w:hAnsi="Arial"/>
          <w:sz w:val="24"/>
          <w:szCs w:val="24"/>
        </w:rPr>
        <w:t xml:space="preserve">ов</w:t>
      </w:r>
      <w:r>
        <w:rPr>
          <w:rFonts w:ascii="Arial" w:cs="Arial" w:eastAsia="Arial" w:hAnsi="Arial"/>
          <w:sz w:val="24"/>
          <w:szCs w:val="24"/>
        </w:rPr>
        <w:t xml:space="preserve">, сельского хозяйства. </w:t>
      </w:r>
    </w:p>
    <w:p>
      <w:pPr>
        <w:spacing w:after="120"/>
        <w:ind w:firstLine="709"/>
        <w:jc w:val="both"/>
      </w:pPr>
      <w:r>
        <w:rPr>
          <w:rFonts w:ascii="Arial" w:cs="Arial" w:eastAsia="Arial" w:hAnsi="Arial"/>
          <w:sz w:val="24"/>
          <w:szCs w:val="24"/>
        </w:rPr>
        <w:t xml:space="preserve">Налоговые доходы государственного бюджета на 2022–2024 годы прогнозируются с положительной динамикой роста. К 2024 году налоговые доход</w:t>
      </w:r>
      <w:r>
        <w:rPr>
          <w:rFonts w:ascii="Arial" w:cs="Arial" w:eastAsia="Arial" w:hAnsi="Arial"/>
          <w:sz w:val="24"/>
          <w:szCs w:val="24"/>
        </w:rPr>
        <w:t xml:space="preserve">ы</w:t>
      </w:r>
      <w:r>
        <w:rPr>
          <w:rFonts w:ascii="Arial" w:cs="Arial" w:eastAsia="Arial" w:hAnsi="Arial"/>
          <w:sz w:val="24"/>
          <w:szCs w:val="24"/>
        </w:rPr>
        <w:t xml:space="preserve"> вырастут до 211 979,1 млн сомов или </w:t>
      </w:r>
      <w:r>
        <w:rPr>
          <w:rFonts w:ascii="Arial" w:cs="Arial" w:eastAsia="Arial" w:hAnsi="Arial"/>
          <w:sz w:val="24"/>
          <w:szCs w:val="24"/>
        </w:rPr>
        <w:t xml:space="preserve">25</w:t>
      </w:r>
      <w:r>
        <w:rPr>
          <w:rFonts w:ascii="Arial" w:cs="Arial" w:eastAsia="Arial" w:hAnsi="Arial"/>
          <w:sz w:val="24"/>
          <w:szCs w:val="24"/>
        </w:rPr>
        <w:t xml:space="preserve">,2 % </w:t>
      </w:r>
      <w:r>
        <w:rPr>
          <w:rFonts w:ascii="Arial" w:cs="Arial" w:eastAsia="Arial" w:hAnsi="Arial"/>
          <w:sz w:val="24"/>
          <w:szCs w:val="24"/>
        </w:rPr>
        <w:t xml:space="preserve">к </w:t>
      </w:r>
      <w:r>
        <w:rPr>
          <w:rFonts w:ascii="Arial" w:cs="Arial" w:eastAsia="Arial" w:hAnsi="Arial"/>
          <w:sz w:val="24"/>
          <w:szCs w:val="24"/>
        </w:rPr>
        <w:t xml:space="preserve">ВВП. Наряду с доходной частью, вырастут расходы государственного бюджета на 2022–2024 годы. Расходы бюджета сохранят свою социальную направленность, при этом расходы будут распределяться на приоритетные направления. Кроме того, в 2024 году прогнозируется профицит государственного бюджета в 1,0 % </w:t>
      </w:r>
      <w:r>
        <w:rPr>
          <w:rFonts w:ascii="Arial" w:cs="Arial" w:eastAsia="Arial" w:hAnsi="Arial"/>
          <w:sz w:val="24"/>
          <w:szCs w:val="24"/>
        </w:rPr>
        <w:t xml:space="preserve">к </w:t>
      </w:r>
      <w:r>
        <w:rPr>
          <w:rFonts w:ascii="Arial" w:cs="Arial" w:eastAsia="Arial" w:hAnsi="Arial"/>
          <w:sz w:val="24"/>
          <w:szCs w:val="24"/>
        </w:rPr>
        <w:t xml:space="preserve">ВВП, который будет направлен на финансирование приоритетных программ экономического развития. На период 2020–2024 годов преобладают внешние заимствования в общем объеме заимствований. При этом долговая политика будет направлена на увеличение внутренних заимствований путем развития рынка долгосрочных ГЦБ, что позволит сократить удельный вес государственного долга в иностранной валюте до 80,8 %.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Макроэкономические перспективы</w:t>
      </w:r>
    </w:p>
    <w:p>
      <w:pPr>
        <w:spacing w:after="120" w:before="200"/>
        <w:ind w:firstLine="708"/>
        <w:jc w:val="center"/>
      </w:pPr>
      <w:r>
        <w:rPr>
          <w:rFonts w:ascii="Arial" w:cs="Arial" w:eastAsia="Arial" w:hAnsi="Arial"/>
          <w:sz w:val="24"/>
          <w:szCs w:val="24"/>
        </w:rPr>
        <w:t xml:space="preserve"/>
      </w:r>
    </w:p>
    <w:p>
      <w:pPr>
        <w:spacing w:after="120" w:before="40"/>
        <w:ind w:firstLine="709"/>
        <w:jc w:val="both"/>
      </w:pPr>
      <w:r>
        <w:rPr>
          <w:rFonts w:ascii="Arial" w:cs="Arial" w:eastAsia="Arial" w:hAnsi="Arial"/>
          <w:b/>
          <w:bCs/>
          <w:sz w:val="24"/>
          <w:szCs w:val="24"/>
        </w:rPr>
        <w:t xml:space="preserve">2.1. Макроэкономическая политика и среднесрочный прогноз</w:t>
      </w:r>
    </w:p>
    <w:p>
      <w:pPr>
        <w:spacing w:after="12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Макроэкономическая ситуация в Кыргызской Республике в 2019–2020 годах была неоднозначной, в результате последствий пандемии коронавирусной инфекции COVID-19 спад среднегодового темпа роста ВВП составил 2,0 %. </w:t>
      </w:r>
    </w:p>
    <w:p>
      <w:pPr>
        <w:spacing w:after="120"/>
        <w:ind w:firstLine="720"/>
        <w:jc w:val="both"/>
      </w:pPr>
      <w:r>
        <w:rPr>
          <w:rFonts w:ascii="Arial" w:cs="Arial" w:eastAsia="Arial" w:hAnsi="Arial"/>
          <w:sz w:val="24"/>
          <w:szCs w:val="24"/>
        </w:rPr>
        <w:t xml:space="preserve">В 2019 году реальный рост ВВП сложился на уровне 4,6 %. Темпы роста валового выпуска наблюдаются в промышленности на 6,6 %, сельском хозяйстве – на 2,5 %, строительстве – на 10,7 % и сфере услуг – на 3,2 %. Основными благоприятными факторами, повлиявшими на экономический рост, стали умеренный уровень инфляции, чем обусловлен реальный рост доходов населения, предоставление льготных кредитов фермерам. </w:t>
      </w:r>
    </w:p>
    <w:p>
      <w:pPr>
        <w:spacing w:after="120"/>
        <w:ind w:firstLine="720"/>
        <w:jc w:val="both"/>
      </w:pPr>
      <w:r>
        <w:rPr>
          <w:rFonts w:ascii="Arial" w:cs="Arial" w:eastAsia="Arial" w:hAnsi="Arial"/>
          <w:sz w:val="24"/>
          <w:szCs w:val="24"/>
        </w:rPr>
        <w:t xml:space="preserve">В 2020 году спад ВВП составил 8,6 %. Основной причиной снижения экономического роста явилось негативное влияние пандемии COVID–19, которое привело к снижению темпов роста валового выпуска в сфере услуг на 10,0 %, строительстве – на 15,9 %, промышленности – на 7,5 %. При этом в сельском хозяйстве наблюдался рост на 1,1 %. </w:t>
      </w:r>
    </w:p>
    <w:p>
      <w:pPr>
        <w:spacing w:after="120"/>
        <w:ind w:firstLine="720"/>
        <w:jc w:val="both"/>
      </w:pPr>
      <w:r>
        <w:rPr>
          <w:rFonts w:ascii="Arial" w:cs="Arial" w:eastAsia="Arial" w:hAnsi="Arial"/>
          <w:sz w:val="24"/>
          <w:szCs w:val="24"/>
        </w:rPr>
        <w:t xml:space="preserve">В 2021 году ожидается, что экономическое развитие будет происходить в условиях постепенного восстановления темпов роста мировой экономики на фоне снижения рисков продолжения распространения коронавирусной инфекции COVID-19, роста экономической активности благодаря вакцинам и дополнительной поддержке со стороны мер политики. </w:t>
      </w:r>
    </w:p>
    <w:p>
      <w:pPr>
        <w:spacing w:after="120"/>
        <w:ind w:firstLine="720"/>
        <w:jc w:val="both"/>
      </w:pPr>
      <w:r>
        <w:rPr>
          <w:rFonts w:ascii="Arial" w:cs="Arial" w:eastAsia="Arial" w:hAnsi="Arial"/>
          <w:sz w:val="24"/>
          <w:szCs w:val="24"/>
        </w:rPr>
        <w:t xml:space="preserve">Меры поддержки малого и среднего бизнеса, экспортно–импортных операций и защиты инвесторов, обеспечения устойчивости государственного бюджета, поддержки социальной стабильности, обеспечения продовольственной безопасности и реализации проектов развития в условиях кризиса будут реализовываться в соответствии с Планом первоочередных мер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по обеспечению социальной стабильности и экономической устойчивости.</w:t>
      </w:r>
    </w:p>
    <w:p>
      <w:pPr>
        <w:spacing w:after="120"/>
        <w:ind w:firstLine="720"/>
        <w:jc w:val="both"/>
      </w:pPr>
      <w:r>
        <w:rPr>
          <w:rFonts w:ascii="Arial" w:cs="Arial" w:eastAsia="Arial" w:hAnsi="Arial"/>
          <w:sz w:val="24"/>
          <w:szCs w:val="24"/>
        </w:rPr>
        <w:t xml:space="preserve">В связи с динамичностью происходящих событий, появлением новых вспышек заболеваемости COVID–19, подрывающих деловую активность, согласно оценке, рост экономики в Кыргызской Республике в 2021 году будет умеренным. В связи с этим рост ВВП ожидается на 3,2 %. Уровень инфляции ожидается в размере 8,9 % (в % к декабрю предыдущего года). Это обусловлено в основном зависимостью отечественного рынка от импорта товаров, волатильностью финансового рынка, сезонными колебаниями цен на продовольственные товары.</w:t>
      </w:r>
    </w:p>
    <w:p>
      <w:pPr>
        <w:spacing w:after="120"/>
        <w:ind w:firstLine="720"/>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 весом 46,8 %, 21,0 % и 13,4 % соответственно. </w:t>
      </w:r>
    </w:p>
    <w:p>
      <w:pPr>
        <w:spacing w:after="120"/>
        <w:ind w:firstLine="720"/>
        <w:jc w:val="both"/>
      </w:pPr>
      <w:r>
        <w:rPr>
          <w:rFonts w:ascii="Arial" w:cs="Arial" w:eastAsia="Arial" w:hAnsi="Arial"/>
          <w:sz w:val="24"/>
          <w:szCs w:val="24"/>
        </w:rPr>
        <w:t xml:space="preserve">В 2021 году в промышленности</w:t>
      </w:r>
      <w:r>
        <w:rPr>
          <w:rFonts w:ascii="Arial" w:cs="Arial" w:eastAsia="Arial" w:hAnsi="Arial"/>
          <w:sz w:val="24"/>
          <w:szCs w:val="24"/>
        </w:rPr>
        <w:t xml:space="preserve">[1]</w:t>
      </w:r>
      <w:r>
        <w:rPr>
          <w:rFonts w:ascii="Arial" w:cs="Arial" w:eastAsia="Arial" w:hAnsi="Arial"/>
          <w:sz w:val="24"/>
          <w:szCs w:val="24"/>
        </w:rPr>
        <w:t xml:space="preserve"> ожидается рост на 3,1 %. Без учета</w:t>
      </w:r>
      <w:r>
        <w:rPr>
          <w:rFonts w:ascii="Arial" w:cs="Arial" w:eastAsia="Arial" w:hAnsi="Arial"/>
          <w:sz w:val="24"/>
          <w:szCs w:val="24"/>
        </w:rPr>
        <w:t xml:space="preserve"> предприятий по разработке месторождения </w:t>
      </w:r>
      <w:r>
        <w:rPr>
          <w:rFonts w:ascii="Arial" w:cs="Arial" w:eastAsia="Arial" w:hAnsi="Arial"/>
          <w:sz w:val="24"/>
          <w:szCs w:val="24"/>
        </w:rPr>
        <w:t xml:space="preserve">Кумтор, рост составит 9,2 %. В сельском хозяйстве в 2021 году ожидается рост на 2,1 %. В 2021 году из–за продолжения влияния COVID</w:t>
      </w:r>
      <w:r>
        <w:rPr>
          <w:rFonts w:ascii="Arial" w:cs="Arial" w:eastAsia="Arial" w:hAnsi="Arial"/>
          <w:sz w:val="24"/>
          <w:szCs w:val="24"/>
        </w:rPr>
        <w:t xml:space="preserve">-</w:t>
      </w:r>
      <w:r>
        <w:rPr>
          <w:rFonts w:ascii="Arial" w:cs="Arial" w:eastAsia="Arial" w:hAnsi="Arial"/>
          <w:sz w:val="24"/>
          <w:szCs w:val="24"/>
        </w:rPr>
        <w:t xml:space="preserve">19 ожидается умеренный рост сферы услуг на 3,7 %. Валовая продукция строительства ожидается в объеме 152,2 млрд сомов</w:t>
      </w:r>
      <w:r>
        <w:rPr>
          <w:rFonts w:ascii="Arial" w:cs="Arial" w:eastAsia="Arial" w:hAnsi="Arial"/>
          <w:sz w:val="24"/>
          <w:szCs w:val="24"/>
        </w:rPr>
        <w:t xml:space="preserve">,</w:t>
      </w:r>
      <w:r>
        <w:rPr>
          <w:rFonts w:ascii="Arial" w:cs="Arial" w:eastAsia="Arial" w:hAnsi="Arial"/>
          <w:sz w:val="24"/>
          <w:szCs w:val="24"/>
        </w:rPr>
        <w:t xml:space="preserve"> с реальным ростом на 4,1 %. </w:t>
      </w:r>
    </w:p>
    <w:p>
      <w:pPr>
        <w:spacing w:after="120"/>
        <w:ind w:firstLine="720"/>
        <w:jc w:val="both"/>
      </w:pPr>
      <w:r>
        <w:rPr>
          <w:rFonts w:ascii="Arial" w:cs="Arial" w:eastAsia="Arial" w:hAnsi="Arial"/>
          <w:sz w:val="24"/>
          <w:szCs w:val="24"/>
        </w:rPr>
        <w:t xml:space="preserve">Показатель чистого экспорта товаров и услуг ВВП в 2021 году составит –19,1 % и улучшится на 1,2 процентного пункта по сравнению с 2020 годом –20,3 %. </w:t>
      </w:r>
    </w:p>
    <w:p>
      <w:pPr>
        <w:spacing w:after="120"/>
        <w:ind w:firstLine="720"/>
        <w:jc w:val="both"/>
      </w:pPr>
      <w:r>
        <w:rPr>
          <w:rFonts w:ascii="Arial" w:cs="Arial" w:eastAsia="Arial" w:hAnsi="Arial"/>
          <w:sz w:val="24"/>
          <w:szCs w:val="24"/>
        </w:rPr>
        <w:t xml:space="preserve">В 2021 году экспорт товаров составит 2 050,0 млн долл. США и увеличится на 4,4 % (в номинальном выражении). Импорт товаров составит 3 750,0 млн долл. США и увеличится на 1,8 % (в номинальном выражении).</w:t>
      </w:r>
    </w:p>
    <w:p>
      <w:pPr>
        <w:spacing w:after="120"/>
        <w:ind w:firstLine="720"/>
        <w:jc w:val="both"/>
      </w:pPr>
      <w:r>
        <w:rPr>
          <w:rFonts w:ascii="Arial" w:cs="Arial" w:eastAsia="Arial" w:hAnsi="Arial"/>
          <w:sz w:val="24"/>
          <w:szCs w:val="24"/>
        </w:rPr>
        <w:t xml:space="preserve">В среднесрочном периоде на 2022–2024 годы главными целями экономической политики будут сохранение положительных тенденций экономического роста и обеспечение устойчивого экономического развития страны. </w:t>
      </w:r>
    </w:p>
    <w:p>
      <w:pPr>
        <w:spacing w:after="120"/>
        <w:ind w:firstLine="720"/>
        <w:jc w:val="both"/>
      </w:pPr>
      <w:r>
        <w:rPr>
          <w:rFonts w:ascii="Arial" w:cs="Arial" w:eastAsia="Arial" w:hAnsi="Arial"/>
          <w:sz w:val="24"/>
          <w:szCs w:val="24"/>
        </w:rPr>
        <w:t xml:space="preserve">Целевые макроэкономические показатели будут основаны на полной и успешной реализации Национальной стратегии развития Кыргызской Республики на 2018–2040 годы, направленной на укрепление экономики, усиление потенциала и развитие производства, а также улучшение качества и благосостояния народа.</w:t>
      </w:r>
    </w:p>
    <w:p>
      <w:pPr>
        <w:spacing w:after="120"/>
        <w:ind w:firstLine="720"/>
        <w:jc w:val="both"/>
      </w:pPr>
      <w:r>
        <w:rPr>
          <w:rFonts w:ascii="Arial" w:cs="Arial" w:eastAsia="Arial" w:hAnsi="Arial"/>
          <w:sz w:val="24"/>
          <w:szCs w:val="24"/>
        </w:rPr>
        <w:t xml:space="preserve">Экономическая политика будет направлена на стимулирование развития отраслей, имеющих высокий потенциал для импортозамещения, </w:t>
      </w:r>
      <w:r>
        <w:rPr>
          <w:rFonts w:ascii="Arial" w:cs="Arial" w:eastAsia="Arial" w:hAnsi="Arial"/>
          <w:sz w:val="24"/>
          <w:szCs w:val="24"/>
        </w:rPr>
        <w:t xml:space="preserve">создание</w:t>
      </w:r>
      <w:r>
        <w:rPr>
          <w:rFonts w:ascii="Arial" w:cs="Arial" w:eastAsia="Arial" w:hAnsi="Arial"/>
          <w:sz w:val="24"/>
          <w:szCs w:val="24"/>
        </w:rPr>
        <w:t xml:space="preserve"> рабочи</w:t>
      </w:r>
      <w:r>
        <w:rPr>
          <w:rFonts w:ascii="Arial" w:cs="Arial" w:eastAsia="Arial" w:hAnsi="Arial"/>
          <w:sz w:val="24"/>
          <w:szCs w:val="24"/>
        </w:rPr>
        <w:t xml:space="preserve">х</w:t>
      </w:r>
      <w:r>
        <w:rPr>
          <w:rFonts w:ascii="Arial" w:cs="Arial" w:eastAsia="Arial" w:hAnsi="Arial"/>
          <w:sz w:val="24"/>
          <w:szCs w:val="24"/>
        </w:rPr>
        <w:t xml:space="preserve"> мест и </w:t>
      </w:r>
      <w:r>
        <w:rPr>
          <w:rFonts w:ascii="Arial" w:cs="Arial" w:eastAsia="Arial" w:hAnsi="Arial"/>
          <w:sz w:val="24"/>
          <w:szCs w:val="24"/>
        </w:rPr>
        <w:t xml:space="preserve">повышение</w:t>
      </w:r>
      <w:r>
        <w:rPr>
          <w:rFonts w:ascii="Arial" w:cs="Arial" w:eastAsia="Arial" w:hAnsi="Arial"/>
          <w:sz w:val="24"/>
          <w:szCs w:val="24"/>
        </w:rPr>
        <w:t xml:space="preserve"> благосостояни</w:t>
      </w:r>
      <w:r>
        <w:rPr>
          <w:rFonts w:ascii="Arial" w:cs="Arial" w:eastAsia="Arial" w:hAnsi="Arial"/>
          <w:sz w:val="24"/>
          <w:szCs w:val="24"/>
        </w:rPr>
        <w:t xml:space="preserve">я</w:t>
      </w:r>
      <w:r>
        <w:rPr>
          <w:rFonts w:ascii="Arial" w:cs="Arial" w:eastAsia="Arial" w:hAnsi="Arial"/>
          <w:sz w:val="24"/>
          <w:szCs w:val="24"/>
        </w:rPr>
        <w:t xml:space="preserve"> народа. </w:t>
      </w:r>
    </w:p>
    <w:p>
      <w:pPr>
        <w:spacing w:after="120"/>
        <w:ind w:firstLine="720"/>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120"/>
        <w:ind w:firstLine="709"/>
        <w:jc w:val="both"/>
      </w:pPr>
      <w:r>
        <w:rPr>
          <w:rFonts w:ascii="Arial" w:cs="Arial" w:eastAsia="Arial" w:hAnsi="Arial"/>
          <w:sz w:val="24"/>
          <w:szCs w:val="24"/>
        </w:rPr>
        <w:t xml:space="preserve">- социально–политическая стабильность; </w:t>
      </w:r>
    </w:p>
    <w:p>
      <w:pPr>
        <w:spacing w:after="120"/>
        <w:ind w:firstLine="709"/>
        <w:jc w:val="both"/>
      </w:pPr>
      <w:r>
        <w:rPr>
          <w:rFonts w:ascii="Arial" w:cs="Arial" w:eastAsia="Arial" w:hAnsi="Arial"/>
          <w:sz w:val="24"/>
          <w:szCs w:val="24"/>
        </w:rPr>
        <w:t xml:space="preserve">- усиление работы по импортозамещению, развитие приоритетных секторов с высоким экспортным потенциалом; </w:t>
      </w:r>
    </w:p>
    <w:p>
      <w:pPr>
        <w:spacing w:after="120"/>
        <w:ind w:firstLine="709"/>
        <w:jc w:val="both"/>
      </w:pPr>
      <w:r>
        <w:rPr>
          <w:rFonts w:ascii="Arial" w:cs="Arial" w:eastAsia="Arial" w:hAnsi="Arial"/>
          <w:sz w:val="24"/>
          <w:szCs w:val="24"/>
        </w:rPr>
        <w:t xml:space="preserve">- восстановление потребительского спроса в среднесрочной перспективе;</w:t>
      </w:r>
    </w:p>
    <w:p>
      <w:pPr>
        <w:spacing w:after="120"/>
        <w:ind w:firstLine="709"/>
        <w:jc w:val="both"/>
      </w:pPr>
      <w:r>
        <w:rPr>
          <w:rFonts w:ascii="Arial" w:cs="Arial" w:eastAsia="Arial" w:hAnsi="Arial"/>
          <w:sz w:val="24"/>
          <w:szCs w:val="24"/>
        </w:rPr>
        <w:t xml:space="preserve">- реализация крупных национальных инвестиционных проектов в энергетике, ирригации, дорожно–транспортной сфере;</w:t>
      </w:r>
    </w:p>
    <w:p>
      <w:pPr>
        <w:spacing w:after="120"/>
        <w:ind w:firstLine="709"/>
        <w:jc w:val="both"/>
      </w:pPr>
      <w:r>
        <w:rPr>
          <w:rFonts w:ascii="Arial" w:cs="Arial" w:eastAsia="Arial" w:hAnsi="Arial"/>
          <w:sz w:val="24"/>
          <w:szCs w:val="24"/>
        </w:rPr>
        <w:t xml:space="preserve">- активное использование членства Кыргызской Республики в ЕАЭС и ВТО;</w:t>
      </w:r>
    </w:p>
    <w:p>
      <w:pPr>
        <w:spacing w:after="120"/>
        <w:ind w:firstLine="709"/>
        <w:jc w:val="both"/>
      </w:pPr>
      <w:r>
        <w:rPr>
          <w:rFonts w:ascii="Arial" w:cs="Arial" w:eastAsia="Arial" w:hAnsi="Arial"/>
          <w:sz w:val="24"/>
          <w:szCs w:val="24"/>
        </w:rPr>
        <w:t xml:space="preserve">- создание доступа к финансовым инструментам;</w:t>
      </w:r>
    </w:p>
    <w:p>
      <w:pPr>
        <w:spacing w:after="120"/>
        <w:ind w:firstLine="709"/>
        <w:jc w:val="both"/>
      </w:pPr>
      <w:r>
        <w:rPr>
          <w:rFonts w:ascii="Arial" w:cs="Arial" w:eastAsia="Arial" w:hAnsi="Arial"/>
          <w:sz w:val="24"/>
          <w:szCs w:val="24"/>
        </w:rPr>
        <w:t xml:space="preserve">- создание благоприятной бизнес–среды для предпринимательства;</w:t>
      </w:r>
    </w:p>
    <w:p>
      <w:pPr>
        <w:spacing w:after="120"/>
        <w:ind w:firstLine="709"/>
        <w:jc w:val="both"/>
      </w:pPr>
      <w:r>
        <w:rPr>
          <w:rFonts w:ascii="Arial" w:cs="Arial" w:eastAsia="Arial" w:hAnsi="Arial"/>
          <w:sz w:val="24"/>
          <w:szCs w:val="24"/>
        </w:rPr>
        <w:t xml:space="preserve">- принимаемые меры по выводу бизнеса из тени.</w:t>
      </w:r>
    </w:p>
    <w:p>
      <w:pPr>
        <w:spacing w:after="120"/>
        <w:ind w:firstLine="709"/>
        <w:jc w:val="both"/>
      </w:pPr>
      <w:r>
        <w:rPr>
          <w:rFonts w:ascii="Arial" w:cs="Arial" w:eastAsia="Arial" w:hAnsi="Arial"/>
          <w:sz w:val="24"/>
          <w:szCs w:val="24"/>
        </w:rPr>
        <w:t xml:space="preserve">В 2022–2024 годах темпы роста промышленной продукции</w:t>
      </w:r>
      <w:r>
        <w:rPr>
          <w:rFonts w:ascii="Arial" w:cs="Arial" w:eastAsia="Arial" w:hAnsi="Arial"/>
          <w:sz w:val="24"/>
          <w:szCs w:val="24"/>
        </w:rPr>
        <w:t xml:space="preserve">[2]</w:t>
      </w:r>
      <w:r>
        <w:rPr>
          <w:rFonts w:ascii="Arial" w:cs="Arial" w:eastAsia="Arial" w:hAnsi="Arial"/>
          <w:sz w:val="24"/>
          <w:szCs w:val="24"/>
        </w:rPr>
        <w:t xml:space="preserve"> прогнозируются в среднем за год на уровне 6,9 %. Рост объемов производства промышленной продукции прогнозируется за счет стабильной работы действующих промышленных предприятий, возобновления простаивающих производств, наращивания объемов на месторождениях Кумтор, Талды–Булак Левобережный, Жамгыр, Джеруй, Чаарат, Бозымчак, Иштамберди, Кара–Казык, Терексай, Кавакское буроугольное месторождение и ввода в эксплуатацию новых предприятий </w:t>
      </w:r>
      <w:r>
        <w:rPr>
          <w:rFonts w:ascii="Arial" w:cs="Arial" w:eastAsia="Arial" w:hAnsi="Arial"/>
          <w:sz w:val="24"/>
          <w:szCs w:val="24"/>
        </w:rPr>
        <w:t xml:space="preserve">о</w:t>
      </w:r>
      <w:r>
        <w:rPr>
          <w:rFonts w:ascii="Arial" w:cs="Arial" w:eastAsia="Arial" w:hAnsi="Arial"/>
          <w:sz w:val="24"/>
          <w:szCs w:val="24"/>
        </w:rPr>
        <w:t xml:space="preserve">ткрыто</w:t>
      </w:r>
      <w:r>
        <w:rPr>
          <w:rFonts w:ascii="Arial" w:cs="Arial" w:eastAsia="Arial" w:hAnsi="Arial"/>
          <w:sz w:val="24"/>
          <w:szCs w:val="24"/>
        </w:rPr>
        <w:t xml:space="preserve">го</w:t>
      </w:r>
      <w:r>
        <w:rPr>
          <w:rFonts w:ascii="Arial" w:cs="Arial" w:eastAsia="Arial" w:hAnsi="Arial"/>
          <w:sz w:val="24"/>
          <w:szCs w:val="24"/>
        </w:rPr>
        <w:t xml:space="preserve"> акционерно</w:t>
      </w:r>
      <w:r>
        <w:rPr>
          <w:rFonts w:ascii="Arial" w:cs="Arial" w:eastAsia="Arial" w:hAnsi="Arial"/>
          <w:sz w:val="24"/>
          <w:szCs w:val="24"/>
        </w:rPr>
        <w:t xml:space="preserve">го</w:t>
      </w:r>
      <w:r>
        <w:rPr>
          <w:rFonts w:ascii="Arial" w:cs="Arial" w:eastAsia="Arial" w:hAnsi="Arial"/>
          <w:sz w:val="24"/>
          <w:szCs w:val="24"/>
        </w:rPr>
        <w:t xml:space="preserve"> обществ</w:t>
      </w:r>
      <w:r>
        <w:rPr>
          <w:rFonts w:ascii="Arial" w:cs="Arial" w:eastAsia="Arial" w:hAnsi="Arial"/>
          <w:sz w:val="24"/>
          <w:szCs w:val="24"/>
        </w:rPr>
        <w:t xml:space="preserve">а</w:t>
      </w:r>
      <w:r>
        <w:rPr>
          <w:rFonts w:ascii="Arial" w:cs="Arial" w:eastAsia="Arial" w:hAnsi="Arial"/>
          <w:sz w:val="24"/>
          <w:szCs w:val="24"/>
        </w:rPr>
        <w:t xml:space="preserve"> «КГРК», </w:t>
      </w:r>
      <w:r>
        <w:rPr>
          <w:rFonts w:ascii="Arial" w:cs="Arial" w:eastAsia="Arial" w:hAnsi="Arial"/>
          <w:sz w:val="24"/>
          <w:szCs w:val="24"/>
        </w:rPr>
        <w:t xml:space="preserve">о</w:t>
      </w:r>
      <w:r>
        <w:rPr>
          <w:rFonts w:ascii="Arial" w:cs="Arial" w:eastAsia="Arial" w:hAnsi="Arial"/>
          <w:sz w:val="24"/>
          <w:szCs w:val="24"/>
        </w:rPr>
        <w:t xml:space="preserve">бществ</w:t>
      </w:r>
      <w:r>
        <w:rPr>
          <w:rFonts w:ascii="Arial" w:cs="Arial" w:eastAsia="Arial" w:hAnsi="Arial"/>
          <w:sz w:val="24"/>
          <w:szCs w:val="24"/>
        </w:rPr>
        <w:t xml:space="preserve">а</w:t>
      </w:r>
      <w:r>
        <w:rPr>
          <w:rFonts w:ascii="Arial" w:cs="Arial" w:eastAsia="Arial" w:hAnsi="Arial"/>
          <w:sz w:val="24"/>
          <w:szCs w:val="24"/>
        </w:rPr>
        <w:t xml:space="preserve"> с ограниченной ответственностью «Вертекс Голд Компани», </w:t>
      </w:r>
      <w:r>
        <w:rPr>
          <w:rFonts w:ascii="Arial" w:cs="Arial" w:eastAsia="Arial" w:hAnsi="Arial"/>
          <w:sz w:val="24"/>
          <w:szCs w:val="24"/>
        </w:rPr>
        <w:t xml:space="preserve">о</w:t>
      </w:r>
      <w:r>
        <w:rPr>
          <w:rFonts w:ascii="Arial" w:cs="Arial" w:eastAsia="Arial" w:hAnsi="Arial"/>
          <w:sz w:val="24"/>
          <w:szCs w:val="24"/>
        </w:rPr>
        <w:t xml:space="preserve">бществ</w:t>
      </w:r>
      <w:r>
        <w:rPr>
          <w:rFonts w:ascii="Arial" w:cs="Arial" w:eastAsia="Arial" w:hAnsi="Arial"/>
          <w:sz w:val="24"/>
          <w:szCs w:val="24"/>
        </w:rPr>
        <w:t xml:space="preserve">а</w:t>
      </w:r>
      <w:r>
        <w:rPr>
          <w:rFonts w:ascii="Arial" w:cs="Arial" w:eastAsia="Arial" w:hAnsi="Arial"/>
          <w:sz w:val="24"/>
          <w:szCs w:val="24"/>
        </w:rPr>
        <w:t xml:space="preserve"> с ограниченной ответственностью «Эти Бакыр Терексай». </w:t>
      </w:r>
    </w:p>
    <w:p>
      <w:pPr>
        <w:spacing w:after="120"/>
        <w:ind w:firstLine="709"/>
        <w:jc w:val="both"/>
      </w:pPr>
      <w:r>
        <w:rPr>
          <w:rFonts w:ascii="Arial" w:cs="Arial" w:eastAsia="Arial" w:hAnsi="Arial"/>
          <w:sz w:val="24"/>
          <w:szCs w:val="24"/>
        </w:rPr>
        <w:t xml:space="preserve">В сельском хозяйстве среднегодовой темп роста прогнозируется на уровне 2,4 %. Рост прогнозируется за счет благоприятного влияния природно–климатического фактора, оптимизации посевных площадей, активного использования системы капельного орошения, развития тепличных хозяйств, использования передовых технологий возделывания сельскохозяйственных культур, применения органических, минеральных и органоминеральных удобрений, увеличения производства кормовых культур, цифровых технологий в сельском хозяйстве с элементами электронной коммерции для обеспечения прослеживаемости и безопасности сельскохозяйственной продукции, сохранения благополучной эпизоотической ситуации в стране, продолжения поддержки сельхозпроизводителей со стороны государства по действующим кредитным и лизинговым программам, оптимизации производственных процессов и управления, сокращения энергетических и ресурсных затрат в сельском хозяйстве.</w:t>
      </w:r>
    </w:p>
    <w:p>
      <w:pPr>
        <w:spacing w:after="120"/>
        <w:ind w:firstLine="709"/>
        <w:jc w:val="both"/>
      </w:pPr>
      <w:r>
        <w:rPr>
          <w:rFonts w:ascii="Arial" w:cs="Arial" w:eastAsia="Arial" w:hAnsi="Arial"/>
          <w:sz w:val="24"/>
          <w:szCs w:val="24"/>
        </w:rPr>
        <w:t xml:space="preserve">В сфере услуг в среднесрочной перспективе объем валового выпуска услуг прогнозируется в среднем в год на уровне 4,4 %, в основном за счет роста услуг оптовой и розничной торговли, транспортной деятельности и хранения грузов, гостиниц и ресторанов. </w:t>
      </w:r>
    </w:p>
    <w:p>
      <w:pPr>
        <w:spacing w:after="120"/>
        <w:ind w:firstLine="709"/>
        <w:jc w:val="both"/>
      </w:pPr>
      <w:r>
        <w:rPr>
          <w:rFonts w:ascii="Arial" w:cs="Arial" w:eastAsia="Arial" w:hAnsi="Arial"/>
          <w:sz w:val="24"/>
          <w:szCs w:val="24"/>
        </w:rPr>
        <w:t xml:space="preserve">В строительстве среднегодовой темп реального роста прогнозируется на уровне 6,4 %. Развитие строительной отрасли станет одним из значимых направлений, обеспечивающих рост национальной экономики за счет реализации крупных инвестиционных проектов. </w:t>
      </w:r>
    </w:p>
    <w:p>
      <w:pPr>
        <w:spacing w:after="120"/>
        <w:ind w:firstLine="709"/>
        <w:jc w:val="both"/>
      </w:pPr>
      <w:r>
        <w:rPr>
          <w:rFonts w:ascii="Arial" w:cs="Arial" w:eastAsia="Arial" w:hAnsi="Arial"/>
          <w:sz w:val="24"/>
          <w:szCs w:val="24"/>
        </w:rPr>
        <w:t xml:space="preserve">Структура ВВП по использованию в 2022–2024 годах будет определяться увеличением доли потребления и инвестиций.</w:t>
      </w:r>
    </w:p>
    <w:p>
      <w:pPr>
        <w:spacing w:after="120"/>
        <w:ind w:firstLine="709"/>
        <w:jc w:val="both"/>
      </w:pPr>
      <w:r>
        <w:rPr>
          <w:rFonts w:ascii="Arial" w:cs="Arial" w:eastAsia="Arial" w:hAnsi="Arial"/>
          <w:sz w:val="24"/>
          <w:szCs w:val="24"/>
        </w:rPr>
        <w:t xml:space="preserve">Доля валовых инвестиций ВВП составит 26,6 % в 2022 году, 26,9 % в 2023 году и 27,9 % в 2024 году. Доля государственных инвестиций уменьшится с 4,6 % ВВП в 2022 году до 3,6 % ВВП в 2024 году. Доля частных инвестиций увеличится с 22,0 % ВВП в 2022 году до 24,3 % ВВП в 2024 году (2023 год – 23,2 % ВВП).</w:t>
      </w:r>
    </w:p>
    <w:p>
      <w:pPr>
        <w:spacing w:after="120"/>
        <w:ind w:firstLine="709"/>
        <w:jc w:val="both"/>
      </w:pPr>
      <w:r>
        <w:rPr>
          <w:rFonts w:ascii="Arial" w:cs="Arial" w:eastAsia="Arial" w:hAnsi="Arial"/>
          <w:sz w:val="24"/>
          <w:szCs w:val="24"/>
        </w:rPr>
        <w:t xml:space="preserve">Прогнозируется ухудшение показателя чистого экспорта товаров и услуг с –18,9 % ВВП в 2022 году до –20,7 % в 2024 году.</w:t>
      </w:r>
    </w:p>
    <w:p>
      <w:pPr>
        <w:spacing w:after="120"/>
        <w:ind w:firstLine="709"/>
        <w:jc w:val="both"/>
      </w:pPr>
      <w:r>
        <w:rPr>
          <w:rFonts w:ascii="Arial" w:cs="Arial" w:eastAsia="Arial" w:hAnsi="Arial"/>
          <w:sz w:val="24"/>
          <w:szCs w:val="24"/>
        </w:rPr>
        <w:t xml:space="preserve">Основной целью развития внешнеторгового оборота является дальнейшее наращивание экспорта, устранение технических и иных барьеров и ограничений во взаимной торговле на евразийском пространстве, поэтапное движение к формированию общих рынков, таких как электроэнергетический и финансовый рынки, единый рынок услуг. </w:t>
      </w:r>
    </w:p>
    <w:p>
      <w:pPr>
        <w:spacing w:after="120"/>
        <w:ind w:firstLine="709"/>
        <w:jc w:val="both"/>
      </w:pPr>
      <w:r>
        <w:rPr>
          <w:rFonts w:ascii="Arial" w:cs="Arial" w:eastAsia="Arial" w:hAnsi="Arial"/>
          <w:sz w:val="24"/>
          <w:szCs w:val="24"/>
        </w:rPr>
        <w:t xml:space="preserve">Основными влияющими факторами на развитие внешнеэкономической деятельности в 2022–2024 годах будут: преимущества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значения экспорта услуг, в т.ч. туристических. С учетом этих факторов внешнеторговый оборот вырастет с 6 290 млн долл. США в 2022 году до 6 960 млн долл. США в 2024 году, в том числе:</w:t>
      </w:r>
    </w:p>
    <w:p>
      <w:pPr>
        <w:spacing w:after="120"/>
        <w:ind w:firstLine="709"/>
        <w:jc w:val="both"/>
      </w:pPr>
      <w:r>
        <w:rPr>
          <w:rFonts w:ascii="Arial" w:cs="Arial" w:eastAsia="Arial" w:hAnsi="Arial"/>
          <w:sz w:val="24"/>
          <w:szCs w:val="24"/>
        </w:rPr>
        <w:t xml:space="preserve">- экспорт товаров увеличится с 2 340 млн долл. США в 2022 году до 2 510 млн долл. США в 2024 году;</w:t>
      </w:r>
    </w:p>
    <w:p>
      <w:pPr>
        <w:spacing w:after="120"/>
        <w:ind w:firstLine="709"/>
        <w:jc w:val="both"/>
      </w:pPr>
      <w:r>
        <w:rPr>
          <w:rFonts w:ascii="Arial" w:cs="Arial" w:eastAsia="Arial" w:hAnsi="Arial"/>
          <w:sz w:val="24"/>
          <w:szCs w:val="24"/>
        </w:rPr>
        <w:t xml:space="preserve">- импорт товаров в среднесрочной перспективе увеличится с 3 950 млн долл. США в 2022 году до 4 450 млн долл. США в 2024 году. </w:t>
      </w:r>
    </w:p>
    <w:p>
      <w:pPr>
        <w:spacing w:after="120"/>
        <w:ind w:firstLine="709"/>
        <w:jc w:val="both"/>
      </w:pPr>
      <w:r>
        <w:rPr>
          <w:rFonts w:ascii="Arial" w:cs="Arial" w:eastAsia="Arial" w:hAnsi="Arial"/>
          <w:sz w:val="24"/>
          <w:szCs w:val="24"/>
        </w:rPr>
        <w:t xml:space="preserve">В области социальной политики основными задачами на 2022–2024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путем поэтапного увеличения заработной платы, пенсий и пособий,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w:t>
      </w:r>
    </w:p>
    <w:p>
      <w:pPr>
        <w:spacing w:after="120"/>
        <w:ind w:firstLine="709"/>
        <w:jc w:val="both"/>
      </w:pPr>
      <w:r>
        <w:rPr>
          <w:rFonts w:ascii="Arial" w:cs="Arial" w:eastAsia="Arial" w:hAnsi="Arial"/>
          <w:sz w:val="24"/>
          <w:szCs w:val="24"/>
        </w:rPr>
        <w:t xml:space="preserve">В среднесрочном периоде прогнозируется рост численности наличного населения в среднем в год на 145,3 тыс. человек, численность занятого населения ежегодно будет возрастать в среднем на 2,1 %. ВВП на душу населения увеличится в среднем в год на 4,0 % и составит 1 300,4 долл. США в 2024 году. </w:t>
      </w:r>
    </w:p>
    <w:p>
      <w:pPr>
        <w:spacing w:after="120"/>
        <w:ind w:firstLine="709"/>
        <w:jc w:val="both"/>
      </w:pPr>
      <w:r>
        <w:rPr>
          <w:rFonts w:ascii="Arial" w:cs="Arial" w:eastAsia="Arial" w:hAnsi="Arial"/>
          <w:sz w:val="24"/>
          <w:szCs w:val="24"/>
        </w:rPr>
        <w:t xml:space="preserve">Реальный рост среднемесячной заработной платы в среднесрочном периоде прогнозируется отрицательный на уровне </w:t>
      </w:r>
      <w:r>
        <w:rPr>
          <w:rFonts w:ascii="Arial" w:cs="Arial" w:eastAsia="Arial" w:hAnsi="Arial"/>
          <w:sz w:val="24"/>
          <w:szCs w:val="24"/>
        </w:rPr>
        <w:t xml:space="preserve">–</w:t>
      </w:r>
      <w:r>
        <w:rPr>
          <w:rFonts w:ascii="Arial" w:cs="Arial" w:eastAsia="Arial" w:hAnsi="Arial"/>
          <w:sz w:val="24"/>
          <w:szCs w:val="24"/>
        </w:rPr>
        <w:t xml:space="preserve">2,4 % и составит 20 887,8 сома в 2024 году. Реальный рост денежных доходов населения прогнозируется в среднем в год на уровне 2,5 % и составит 589,6 млрд сомов в 2024 году. Уровень бедности в среднесрочной перспективе сократится в среднем в год на 1,2 процентн</w:t>
      </w:r>
      <w:r>
        <w:rPr>
          <w:rFonts w:ascii="Arial" w:cs="Arial" w:eastAsia="Arial" w:hAnsi="Arial"/>
          <w:sz w:val="24"/>
          <w:szCs w:val="24"/>
        </w:rPr>
        <w:t xml:space="preserve">ого</w:t>
      </w:r>
      <w:r>
        <w:rPr>
          <w:rFonts w:ascii="Arial" w:cs="Arial" w:eastAsia="Arial" w:hAnsi="Arial"/>
          <w:sz w:val="24"/>
          <w:szCs w:val="24"/>
        </w:rPr>
        <w:t xml:space="preserve"> пункта и составит 20,1 % в 2024 году.</w:t>
      </w:r>
    </w:p>
    <w:p>
      <w:pPr>
        <w:spacing w:after="120"/>
        <w:ind w:firstLine="709"/>
        <w:jc w:val="both"/>
      </w:pPr>
      <w:r>
        <w:rPr>
          <w:rFonts w:ascii="Arial" w:cs="Arial" w:eastAsia="Arial" w:hAnsi="Arial"/>
          <w:sz w:val="24"/>
          <w:szCs w:val="24"/>
        </w:rPr>
        <w:t xml:space="preserve">Уровень бедности в среднесрочной перспективе сократится в среднем в год на 1,2 процентного пункта и составит 20,1 % в 2024 году.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 Фискальная политика</w:t>
      </w:r>
    </w:p>
    <w:p>
      <w:pPr>
        <w:spacing w:after="120"/>
        <w:ind w:firstLine="709"/>
        <w:jc w:val="center"/>
      </w:pPr>
      <w:r>
        <w:rPr>
          <w:rFonts w:ascii="Arial" w:cs="Arial" w:eastAsia="Arial" w:hAnsi="Arial"/>
          <w:sz w:val="24"/>
          <w:szCs w:val="24"/>
        </w:rPr>
        <w:t xml:space="preserve"/>
      </w:r>
    </w:p>
    <w:p>
      <w:pPr>
        <w:spacing w:after="120" w:before="40"/>
        <w:ind w:firstLine="709"/>
        <w:jc w:val="both"/>
      </w:pPr>
      <w:r>
        <w:rPr>
          <w:rFonts w:ascii="Arial" w:cs="Arial" w:eastAsia="Arial" w:hAnsi="Arial"/>
          <w:b/>
          <w:bCs/>
          <w:sz w:val="24"/>
          <w:szCs w:val="24"/>
        </w:rPr>
        <w:t xml:space="preserve">3.1. Приоритеты фискальной политики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Совершенствование фискального законодательства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2022–2024 годах будет сохранена стимулирующая роль фискальной политики, которая будет направлена на диверсификацию, модернизацию производства и его технологическое обновление, а также повышение конкурентоспособности отечественной экономики. Главной задачей налоговой политики станет разработка и внедрение нового Налогового кодекса, будет продолжена работа по поддержке темпов экономического роста, совершенствованию качества управления доходной части бюджета Кыргызской Республики, а также совершенствованию социальной и регулирующей функций налогов.</w:t>
      </w:r>
    </w:p>
    <w:p>
      <w:pPr>
        <w:spacing w:after="120"/>
        <w:ind w:firstLine="709"/>
        <w:jc w:val="both"/>
      </w:pPr>
      <w:r>
        <w:rPr>
          <w:rFonts w:ascii="Arial" w:cs="Arial" w:eastAsia="Arial" w:hAnsi="Arial"/>
          <w:sz w:val="24"/>
          <w:szCs w:val="24"/>
        </w:rPr>
        <w:t xml:space="preserve">Дальнейшее совершенствование налогового законодательства, в том числе:</w:t>
      </w:r>
    </w:p>
    <w:p>
      <w:pPr>
        <w:spacing w:after="120"/>
        <w:ind w:firstLine="709"/>
        <w:jc w:val="both"/>
      </w:pPr>
      <w:r>
        <w:rPr>
          <w:rFonts w:ascii="Arial" w:cs="Arial" w:eastAsia="Arial" w:hAnsi="Arial"/>
          <w:sz w:val="24"/>
          <w:szCs w:val="24"/>
        </w:rPr>
        <w:t xml:space="preserve">- совершенствование будет проходить посредством внедрения на территории республики новых информационных технологий и цифровизации налоговых процедур, которые будут направлены на защиту ответственных и добросовестных налогоплательщиков, граждан Кыргызской Республики;</w:t>
      </w:r>
    </w:p>
    <w:p>
      <w:pPr>
        <w:spacing w:after="120"/>
        <w:ind w:firstLine="709"/>
        <w:jc w:val="both"/>
      </w:pPr>
      <w:r>
        <w:rPr>
          <w:rFonts w:ascii="Arial" w:cs="Arial" w:eastAsia="Arial" w:hAnsi="Arial"/>
          <w:sz w:val="24"/>
          <w:szCs w:val="24"/>
        </w:rPr>
        <w:t xml:space="preserve">- предусматривается переход на принципы всеобщего декларирования с применением контроля налогооблагаемых доходов на соответствие информации о фактически понесенных расходах и изменении имущественного положения;</w:t>
      </w:r>
    </w:p>
    <w:p>
      <w:pPr>
        <w:spacing w:after="120"/>
        <w:ind w:firstLine="709"/>
        <w:jc w:val="both"/>
      </w:pPr>
      <w:r>
        <w:rPr>
          <w:rFonts w:ascii="Arial" w:cs="Arial" w:eastAsia="Arial" w:hAnsi="Arial"/>
          <w:sz w:val="24"/>
          <w:szCs w:val="24"/>
        </w:rPr>
        <w:t xml:space="preserve">- планиру</w:t>
      </w:r>
      <w:r>
        <w:rPr>
          <w:rFonts w:ascii="Arial" w:cs="Arial" w:eastAsia="Arial" w:hAnsi="Arial"/>
          <w:sz w:val="24"/>
          <w:szCs w:val="24"/>
        </w:rPr>
        <w:t xml:space="preserve">ю</w:t>
      </w:r>
      <w:r>
        <w:rPr>
          <w:rFonts w:ascii="Arial" w:cs="Arial" w:eastAsia="Arial" w:hAnsi="Arial"/>
          <w:sz w:val="24"/>
          <w:szCs w:val="24"/>
        </w:rPr>
        <w:t xml:space="preserve">тся создание национального компонента для системы прослеживаемости и оборота товаров, а также работа по повышению рейтинга Кыргызской Республики на мировой арене по показателю «Налогообложение». Предполагается стимулирование легализации неформального сектора экономики Кыргызской Республики, защита отечественных производителей и импортеров, которые имеют безупречную репутацию, а также создание системы налоговой проверки и учета товарной продукции и ее соответствие заявленным характеристикам в фискальных целях; </w:t>
      </w:r>
    </w:p>
    <w:p>
      <w:pPr>
        <w:spacing w:after="120"/>
        <w:ind w:firstLine="709"/>
        <w:jc w:val="both"/>
      </w:pPr>
      <w:r>
        <w:rPr>
          <w:rFonts w:ascii="Arial" w:cs="Arial" w:eastAsia="Arial" w:hAnsi="Arial"/>
          <w:sz w:val="24"/>
          <w:szCs w:val="24"/>
        </w:rPr>
        <w:t xml:space="preserve">- 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путем полномасштабного внедрения электронных счетов-фактур, электронных товарно-транспортных накладных, ККМ-онлайн и маркировки товаров средствами идентификации, по введению системы поощрения налогоплательщиков, системы кэшбэка при выдаче кассовых чеков.</w:t>
      </w:r>
    </w:p>
    <w:p>
      <w:pPr>
        <w:spacing w:after="120"/>
        <w:ind w:firstLine="709"/>
        <w:jc w:val="both"/>
      </w:pPr>
      <w:r>
        <w:rPr>
          <w:rFonts w:ascii="Arial" w:cs="Arial" w:eastAsia="Arial" w:hAnsi="Arial"/>
          <w:sz w:val="24"/>
          <w:szCs w:val="24"/>
        </w:rPr>
        <w:t xml:space="preserve">Дальнейшее совершенствование таможенного законодательства, в том числе:</w:t>
      </w:r>
    </w:p>
    <w:p>
      <w:pPr>
        <w:spacing w:after="120"/>
        <w:ind w:firstLine="709"/>
        <w:jc w:val="both"/>
      </w:pPr>
      <w:r>
        <w:rPr>
          <w:rFonts w:ascii="Arial" w:cs="Arial" w:eastAsia="Arial" w:hAnsi="Arial"/>
          <w:sz w:val="24"/>
          <w:szCs w:val="24"/>
        </w:rPr>
        <w:t xml:space="preserve">- реализация Плана мероприятий по упрощению процедур торговли в Кыргызской Республике;</w:t>
      </w:r>
    </w:p>
    <w:p>
      <w:pPr>
        <w:spacing w:after="120"/>
        <w:ind w:firstLine="709"/>
        <w:jc w:val="both"/>
      </w:pPr>
      <w:r>
        <w:rPr>
          <w:rFonts w:ascii="Arial" w:cs="Arial" w:eastAsia="Arial" w:hAnsi="Arial"/>
          <w:sz w:val="24"/>
          <w:szCs w:val="24"/>
        </w:rPr>
        <w:t xml:space="preserve">- ускорение процесса совершения таможенных операций, посредством применения системы управления рисками;</w:t>
      </w:r>
    </w:p>
    <w:p>
      <w:pPr>
        <w:spacing w:after="120"/>
        <w:ind w:firstLine="709"/>
        <w:jc w:val="both"/>
      </w:pPr>
      <w:r>
        <w:rPr>
          <w:rFonts w:ascii="Arial" w:cs="Arial" w:eastAsia="Arial" w:hAnsi="Arial"/>
          <w:sz w:val="24"/>
          <w:szCs w:val="24"/>
        </w:rPr>
        <w:t xml:space="preserve">- автоматизация (цифровизация) таможенных процессов, а также развитие электронного межведомственного взаимодействия (безбумажное декларирование);</w:t>
      </w:r>
    </w:p>
    <w:p>
      <w:pPr>
        <w:spacing w:after="120"/>
        <w:ind w:firstLine="709"/>
        <w:jc w:val="both"/>
      </w:pPr>
      <w:r>
        <w:rPr>
          <w:rFonts w:ascii="Arial" w:cs="Arial" w:eastAsia="Arial" w:hAnsi="Arial"/>
          <w:sz w:val="24"/>
          <w:szCs w:val="24"/>
        </w:rPr>
        <w:t xml:space="preserve">- содействие развитию международных дорожных перевозок в Кыргызской Республике, внедрение модуля предварительного информирования в ЕАИС;</w:t>
      </w:r>
    </w:p>
    <w:p>
      <w:pPr>
        <w:spacing w:after="120"/>
        <w:ind w:firstLine="709"/>
        <w:jc w:val="both"/>
      </w:pPr>
      <w:r>
        <w:rPr>
          <w:rFonts w:ascii="Arial" w:cs="Arial" w:eastAsia="Arial" w:hAnsi="Arial"/>
          <w:sz w:val="24"/>
          <w:szCs w:val="24"/>
        </w:rPr>
        <w:t xml:space="preserve">- совершенствование системы уплаты таможенных платежей, интегрирование </w:t>
      </w:r>
      <w:r>
        <w:rPr>
          <w:rFonts w:ascii="Arial" w:cs="Arial" w:eastAsia="Arial" w:hAnsi="Arial"/>
          <w:sz w:val="24"/>
          <w:szCs w:val="24"/>
        </w:rPr>
        <w:t xml:space="preserve">с</w:t>
      </w:r>
      <w:r>
        <w:rPr>
          <w:rFonts w:ascii="Arial" w:cs="Arial" w:eastAsia="Arial" w:hAnsi="Arial"/>
          <w:sz w:val="24"/>
          <w:szCs w:val="24"/>
        </w:rPr>
        <w:t xml:space="preserve"> национальной платежной систем</w:t>
      </w:r>
      <w:r>
        <w:rPr>
          <w:rFonts w:ascii="Arial" w:cs="Arial" w:eastAsia="Arial" w:hAnsi="Arial"/>
          <w:sz w:val="24"/>
          <w:szCs w:val="24"/>
        </w:rPr>
        <w:t xml:space="preserve">ой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внедрение информационного обмена с государственными контролирующими органами на внешней границе ЕАЭС, внедрение цифровой платформы в части внедрения программного обеспечения для осуществления совместного контроля государственными органами в пунктах пропуска по принципу «Единого окна»;</w:t>
      </w:r>
    </w:p>
    <w:p>
      <w:pPr>
        <w:spacing w:after="120"/>
        <w:ind w:firstLine="709"/>
        <w:jc w:val="both"/>
      </w:pPr>
      <w:r>
        <w:rPr>
          <w:rFonts w:ascii="Arial" w:cs="Arial" w:eastAsia="Arial" w:hAnsi="Arial"/>
          <w:sz w:val="24"/>
          <w:szCs w:val="24"/>
        </w:rPr>
        <w:t xml:space="preserve">- внедрение электронной системы отслеживания и доставки товаров и транспортных средств до таможенного органа назначения, а также автоматизации таможенного досмотра.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Бюджетная политика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настоящее время государственный бюджет характеризуется наличием значительного дефицита бюджета, необходимостью сдерживания государственного долга, дотационным характером межбюджетных отношений, отсутствием полноценной автоматизированной системы управления государственными финансами, а также отсутствием действенного программного бюджета.</w:t>
      </w:r>
    </w:p>
    <w:p>
      <w:pPr>
        <w:spacing w:after="120"/>
        <w:ind w:firstLine="709"/>
        <w:jc w:val="both"/>
      </w:pPr>
      <w:r>
        <w:rPr>
          <w:rFonts w:ascii="Arial" w:cs="Arial" w:eastAsia="Arial" w:hAnsi="Arial"/>
          <w:sz w:val="24"/>
          <w:szCs w:val="24"/>
        </w:rPr>
        <w:t xml:space="preserve">В свете последних событий, связанных с пандемией COVID-19, падением ресурсной части бюджета и привлечением внешней помощи на мероприятия по борьбе с COVID-19, в обществе поднимаются вопросы прозрачности и эффективности использования средств, как бюджетных, так и средств, поступивших от партнеров по развитию.</w:t>
      </w:r>
    </w:p>
    <w:p>
      <w:pPr>
        <w:spacing w:after="120"/>
        <w:ind w:firstLine="709"/>
        <w:jc w:val="both"/>
      </w:pPr>
      <w:r>
        <w:rPr>
          <w:rFonts w:ascii="Arial" w:cs="Arial" w:eastAsia="Arial" w:hAnsi="Arial"/>
          <w:sz w:val="24"/>
          <w:szCs w:val="24"/>
        </w:rPr>
        <w:t xml:space="preserve">В этой связи целью среднесрочной налогово-бюджетной политики является обеспечение стабильного экономического роста и сохранение устойчивости государственного бюджета, что, в свою очередь, означает достижение правильного баланса между ростом, устойчивостью долговой ситуации и социальными целями.</w:t>
      </w:r>
    </w:p>
    <w:p>
      <w:pPr>
        <w:spacing w:after="120"/>
        <w:ind w:firstLine="709"/>
        <w:jc w:val="both"/>
      </w:pPr>
      <w:r>
        <w:rPr>
          <w:rFonts w:ascii="Arial" w:cs="Arial" w:eastAsia="Arial" w:hAnsi="Arial"/>
          <w:sz w:val="24"/>
          <w:szCs w:val="24"/>
        </w:rPr>
        <w:t xml:space="preserve">Таким образом, в управлении государственными финансами Кабинет Министров Кыргызской Республики сосредоточится на следующих задачах:</w:t>
      </w:r>
    </w:p>
    <w:p>
      <w:pPr>
        <w:spacing w:after="120"/>
        <w:ind w:firstLine="709"/>
        <w:jc w:val="both"/>
      </w:pPr>
      <w:r>
        <w:rPr>
          <w:rFonts w:ascii="Arial" w:cs="Arial" w:eastAsia="Arial" w:hAnsi="Arial"/>
          <w:sz w:val="24"/>
          <w:szCs w:val="24"/>
        </w:rPr>
        <w:t xml:space="preserve">- обеспечение фискальной устойчивости и превращение республиканского бюджета в эффективный инструмент макроэкономического регулирования;</w:t>
      </w:r>
    </w:p>
    <w:p>
      <w:pPr>
        <w:spacing w:after="120"/>
        <w:ind w:firstLine="709"/>
        <w:jc w:val="both"/>
      </w:pPr>
      <w:r>
        <w:rPr>
          <w:rFonts w:ascii="Arial" w:cs="Arial" w:eastAsia="Arial" w:hAnsi="Arial"/>
          <w:sz w:val="24"/>
          <w:szCs w:val="24"/>
        </w:rPr>
        <w:t xml:space="preserve">- внесение поправок в Бюджетный кодекс, направленных на дальнейшее улучшение управления государственными финансами;</w:t>
      </w:r>
    </w:p>
    <w:p>
      <w:pPr>
        <w:spacing w:after="120"/>
        <w:ind w:firstLine="709"/>
        <w:jc w:val="both"/>
      </w:pPr>
      <w:r>
        <w:rPr>
          <w:rFonts w:ascii="Arial" w:cs="Arial" w:eastAsia="Arial" w:hAnsi="Arial"/>
          <w:sz w:val="24"/>
          <w:szCs w:val="24"/>
        </w:rPr>
        <w:t xml:space="preserve">- повышение качества бюджетного планирования и среднесрочного прогнозирования, переход среднесрочного прогнозирования на пятилетний горизонт;</w:t>
      </w:r>
    </w:p>
    <w:p>
      <w:pPr>
        <w:spacing w:after="120"/>
        <w:ind w:firstLine="709"/>
        <w:jc w:val="both"/>
      </w:pPr>
      <w:r>
        <w:rPr>
          <w:rFonts w:ascii="Arial" w:cs="Arial" w:eastAsia="Arial" w:hAnsi="Arial"/>
          <w:sz w:val="24"/>
          <w:szCs w:val="24"/>
        </w:rPr>
        <w:t xml:space="preserve">- автоматизация процессов бюджетного планирования;</w:t>
      </w:r>
    </w:p>
    <w:p>
      <w:pPr>
        <w:spacing w:after="120"/>
        <w:ind w:firstLine="709"/>
        <w:jc w:val="both"/>
      </w:pPr>
      <w:r>
        <w:rPr>
          <w:rFonts w:ascii="Arial" w:cs="Arial" w:eastAsia="Arial" w:hAnsi="Arial"/>
          <w:sz w:val="24"/>
          <w:szCs w:val="24"/>
        </w:rPr>
        <w:t xml:space="preserve">- четкая приоритезация направления внутренних и внешних заимствований на развитие отраслей экономики республики;</w:t>
      </w:r>
    </w:p>
    <w:p>
      <w:pPr>
        <w:spacing w:after="120"/>
        <w:ind w:firstLine="709"/>
        <w:jc w:val="both"/>
      </w:pPr>
      <w:r>
        <w:rPr>
          <w:rFonts w:ascii="Arial" w:cs="Arial" w:eastAsia="Arial" w:hAnsi="Arial"/>
          <w:sz w:val="24"/>
          <w:szCs w:val="24"/>
        </w:rPr>
        <w:t xml:space="preserve">- концентрация ресурсов республиканского бюджета на решении ключевых задач при одновременном сокращении заведомо неэффективных расходов;</w:t>
      </w:r>
    </w:p>
    <w:p>
      <w:pPr>
        <w:spacing w:after="120"/>
        <w:ind w:firstLine="709"/>
        <w:jc w:val="both"/>
      </w:pPr>
      <w:r>
        <w:rPr>
          <w:rFonts w:ascii="Arial" w:cs="Arial" w:eastAsia="Arial" w:hAnsi="Arial"/>
          <w:sz w:val="24"/>
          <w:szCs w:val="24"/>
        </w:rPr>
        <w:t xml:space="preserve">- внедрение полноценного бюджетирования, ориентированного на результат. Бюджетирование, ориентированное на результат, должно стать механизмом повышения эффективности расходов бюджета;</w:t>
      </w:r>
    </w:p>
    <w:p>
      <w:pPr>
        <w:spacing w:after="120"/>
        <w:ind w:firstLine="709"/>
        <w:jc w:val="both"/>
      </w:pPr>
      <w:r>
        <w:rPr>
          <w:rFonts w:ascii="Arial" w:cs="Arial" w:eastAsia="Arial" w:hAnsi="Arial"/>
          <w:sz w:val="24"/>
          <w:szCs w:val="24"/>
        </w:rPr>
        <w:t xml:space="preserve">- повышение эффективности расходов бюджета путем внедрения и применения механизмов мониторинга и оценки бюджетных программ;</w:t>
      </w:r>
    </w:p>
    <w:p>
      <w:pPr>
        <w:spacing w:after="120"/>
        <w:ind w:firstLine="709"/>
        <w:jc w:val="both"/>
      </w:pPr>
      <w:r>
        <w:rPr>
          <w:rFonts w:ascii="Arial" w:cs="Arial" w:eastAsia="Arial" w:hAnsi="Arial"/>
          <w:sz w:val="24"/>
          <w:szCs w:val="24"/>
        </w:rPr>
        <w:t xml:space="preserve">- реформа межбюджетных отношений;</w:t>
      </w:r>
    </w:p>
    <w:p>
      <w:pPr>
        <w:spacing w:after="120"/>
        <w:ind w:firstLine="709"/>
        <w:jc w:val="both"/>
      </w:pPr>
      <w:r>
        <w:rPr>
          <w:rFonts w:ascii="Arial" w:cs="Arial" w:eastAsia="Arial" w:hAnsi="Arial"/>
          <w:sz w:val="24"/>
          <w:szCs w:val="24"/>
        </w:rPr>
        <w:t xml:space="preserve">- совершенствование бюджетных документов, усиление участия гражданского сообщества в бюджетном процессе в целях повышения прозрачности и подотчетности бюджета;</w:t>
      </w:r>
    </w:p>
    <w:p>
      <w:pPr>
        <w:spacing w:after="120"/>
        <w:ind w:firstLine="709"/>
        <w:jc w:val="both"/>
      </w:pPr>
      <w:r>
        <w:rPr>
          <w:rFonts w:ascii="Arial" w:cs="Arial" w:eastAsia="Arial" w:hAnsi="Arial"/>
          <w:sz w:val="24"/>
          <w:szCs w:val="24"/>
        </w:rPr>
        <w:t xml:space="preserve">- создание Стабилизационного фонда в целях мобилизации ресурсов бюджета на финансирование приоритетных программ экономического развития;</w:t>
      </w:r>
    </w:p>
    <w:p>
      <w:pPr>
        <w:spacing w:after="120"/>
        <w:ind w:firstLine="709"/>
        <w:jc w:val="both"/>
      </w:pPr>
      <w:r>
        <w:rPr>
          <w:rFonts w:ascii="Arial" w:cs="Arial" w:eastAsia="Arial" w:hAnsi="Arial"/>
          <w:sz w:val="24"/>
          <w:szCs w:val="24"/>
        </w:rPr>
        <w:t xml:space="preserve">- выявление возможностей государственного бюджета (фискальное пространство) для обеспечения финансированием целей государства без ущерба для бюджетной устойчивости.</w:t>
      </w:r>
    </w:p>
    <w:p>
      <w:pPr>
        <w:spacing w:after="120"/>
        <w:ind w:firstLine="709"/>
        <w:jc w:val="both"/>
      </w:pPr>
      <w:r>
        <w:rPr>
          <w:rFonts w:ascii="Arial" w:cs="Arial" w:eastAsia="Arial" w:hAnsi="Arial"/>
          <w:sz w:val="24"/>
          <w:szCs w:val="24"/>
        </w:rPr>
        <w:t xml:space="preserve">Кроме того, в среднесрочной перспективе в государственном бюджете буд</w:t>
      </w:r>
      <w:r>
        <w:rPr>
          <w:rFonts w:ascii="Arial" w:cs="Arial" w:eastAsia="Arial" w:hAnsi="Arial"/>
          <w:sz w:val="24"/>
          <w:szCs w:val="24"/>
        </w:rPr>
        <w:t xml:space="preserve">у</w:t>
      </w:r>
      <w:r>
        <w:rPr>
          <w:rFonts w:ascii="Arial" w:cs="Arial" w:eastAsia="Arial" w:hAnsi="Arial"/>
          <w:sz w:val="24"/>
          <w:szCs w:val="24"/>
        </w:rPr>
        <w:t xml:space="preserve">т предусматриваться финансовые средства на мероприятия по борьбе с COVID-19, а также на устранение последствий пандемии. В целях обеспечения прозрачности и подотчетности, данные средства будут централизованно предусматриваться как отдельное мероприятие в соответствующем приложении к закону о республиканском бюджете. </w:t>
      </w:r>
    </w:p>
    <w:p>
      <w:pPr>
        <w:spacing w:after="120"/>
        <w:ind w:firstLine="708"/>
        <w:jc w:val="both"/>
      </w:pPr>
      <w:r>
        <w:rPr>
          <w:rFonts w:ascii="Arial" w:cs="Arial" w:eastAsia="Arial" w:hAnsi="Arial"/>
          <w:sz w:val="24"/>
          <w:szCs w:val="24"/>
        </w:rPr>
        <w:t xml:space="preserve"/>
      </w:r>
    </w:p>
    <w:p>
      <w:pPr>
        <w:spacing w:after="120" w:before="40"/>
        <w:ind w:firstLine="709"/>
        <w:jc w:val="both"/>
      </w:pPr>
      <w:r>
        <w:rPr>
          <w:rFonts w:ascii="Arial" w:cs="Arial" w:eastAsia="Arial" w:hAnsi="Arial"/>
          <w:b/>
          <w:bCs/>
          <w:sz w:val="24"/>
          <w:szCs w:val="24"/>
        </w:rPr>
        <w:t xml:space="preserve">3.2. Основные бюджетные рамки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среднесрочной перспективе общие доходы государственного бюджета, включая капитальные доходы (нефинансовые активы)</w:t>
      </w:r>
      <w:r>
        <w:rPr>
          <w:rFonts w:ascii="Arial" w:cs="Arial" w:eastAsia="Arial" w:hAnsi="Arial"/>
          <w:sz w:val="24"/>
          <w:szCs w:val="24"/>
        </w:rPr>
        <w:t xml:space="preserve">,</w:t>
      </w:r>
      <w:r>
        <w:rPr>
          <w:rFonts w:ascii="Arial" w:cs="Arial" w:eastAsia="Arial" w:hAnsi="Arial"/>
          <w:sz w:val="24"/>
          <w:szCs w:val="24"/>
        </w:rPr>
        <w:t xml:space="preserve"> показывают ежегодный рост; с 225 664,3 млн сомов в 2022 году до 254 697,8 млн сомов в 2024 году. Общие доходы государственного бюджета по отношению </w:t>
      </w:r>
      <w:r>
        <w:rPr>
          <w:rFonts w:ascii="Arial" w:cs="Arial" w:eastAsia="Arial" w:hAnsi="Arial"/>
          <w:sz w:val="24"/>
          <w:szCs w:val="24"/>
        </w:rPr>
        <w:t xml:space="preserve">к </w:t>
      </w:r>
      <w:r>
        <w:rPr>
          <w:rFonts w:ascii="Arial" w:cs="Arial" w:eastAsia="Arial" w:hAnsi="Arial"/>
          <w:sz w:val="24"/>
          <w:szCs w:val="24"/>
        </w:rPr>
        <w:t xml:space="preserve">ВВП снизятся с 31,6 % в 2022 году до 30,3 % в 2024 году. При этом, согласно прогнозу по доходам, соотношение налоговых доходов ВВП показывает рост на период с 2022 по 2024 годы. Снижение общих доходов по отношению </w:t>
      </w:r>
      <w:r>
        <w:rPr>
          <w:rFonts w:ascii="Arial" w:cs="Arial" w:eastAsia="Arial" w:hAnsi="Arial"/>
          <w:sz w:val="24"/>
          <w:szCs w:val="24"/>
        </w:rPr>
        <w:t xml:space="preserve">к </w:t>
      </w:r>
      <w:r>
        <w:rPr>
          <w:rFonts w:ascii="Arial" w:cs="Arial" w:eastAsia="Arial" w:hAnsi="Arial"/>
          <w:sz w:val="24"/>
          <w:szCs w:val="24"/>
        </w:rPr>
        <w:t xml:space="preserve">ВВП связано со снижением прогнозных показателей по официальным трансфертам; с 16 391,7 млн сомов в 2022 году до 9 174,7 млн сомов в 2024 году. Это свидетельствует об уменьшении зависимости бюджета от внешних поступлений.</w:t>
      </w:r>
    </w:p>
    <w:p>
      <w:pPr>
        <w:spacing w:after="12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1</w:t>
      </w:r>
    </w:p>
    <w:p>
      <w:pPr>
        <w:spacing w:after="240" w:before="200"/>
        <w:jc w:val="center"/>
      </w:pPr>
      <w:r>
        <w:rPr>
          <w:rFonts w:ascii="Arial" w:cs="Arial" w:eastAsia="Arial" w:hAnsi="Arial"/>
          <w:b/>
          <w:bCs/>
          <w:sz w:val="32"/>
          <w:szCs w:val="32"/>
        </w:rPr>
        <w:t xml:space="preserve">Основные параметры государственного бюджета </w:t>
      </w:r>
    </w:p>
    <w:p>
      <w:pPr>
        <w:spacing w:after="240" w:before="200"/>
        <w:jc w:val="center"/>
      </w:pPr>
      <w:r>
        <w:rPr>
          <w:rFonts w:ascii="Arial" w:cs="Arial" w:eastAsia="Arial" w:hAnsi="Arial"/>
          <w:b/>
          <w:bCs/>
          <w:sz w:val="32"/>
          <w:szCs w:val="32"/>
        </w:rPr>
        <w:t xml:space="preserve">на 2019–2024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1"/>
        <w:gridCol w:w="1091"/>
        <w:gridCol w:w="1091"/>
        <w:gridCol w:w="1091"/>
        <w:gridCol w:w="1091"/>
        <w:gridCol w:w="1091"/>
        <w:gridCol w:w="1091"/>
        <w:gridCol w:w="1091"/>
      </w:tblGrid>
      <w:tr>
        <w:tc>
          <w:tcPr>
            <w:tcW w:type="dxa" w:w="25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2019</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2020</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2021</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2022</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2023</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2024</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утв.</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доходы (включая капитальные доходы)</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167 328,6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152 051,1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193 569,6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225 664,3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238 293,5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254 697,8</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121 525,5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106 929,2</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144 234,6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174 587,2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190 827,6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211 979,1</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32 314,3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33 303,8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31 226,1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34 658,4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32 829,8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33 516,9</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Государственные инвестиции</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13 488,7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11 818,1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18 089,9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16 391,7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14 609,2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9 174,7</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доходы</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расходы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167 760,3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171 785,1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201 723,6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234 785,9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245 970,5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246 392,6</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расходы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136 217,9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148 645,7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160 876,2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188 173,1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193 466,7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199 170,1</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расходы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31 642,4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23 139,4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40 847,4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46 612,9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52 503,8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47 222,5</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внешних источников</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13 072,9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12 127,8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24 532,5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26 133,4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33 023,1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25 235,7</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внутренних источников</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18 569,5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11 011,6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16 314,9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20479,6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19 480,7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21 986,8</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Дефицит/профицит бюджета</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-431,7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-19 734,0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-8 154,0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-9 121,7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-7 677,0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8 305,2</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Доходы государственного бюджета без учета официальных трансфертов, т.е. без учета внешних поступлений</w:t>
      </w:r>
      <w:r>
        <w:rPr>
          <w:rFonts w:ascii="Arial" w:cs="Arial" w:eastAsia="Arial" w:hAnsi="Arial"/>
          <w:sz w:val="24"/>
          <w:szCs w:val="24"/>
        </w:rPr>
        <w:t xml:space="preserve">,</w:t>
      </w:r>
      <w:r>
        <w:rPr>
          <w:rFonts w:ascii="Arial" w:cs="Arial" w:eastAsia="Arial" w:hAnsi="Arial"/>
          <w:sz w:val="24"/>
          <w:szCs w:val="24"/>
        </w:rPr>
        <w:t xml:space="preserve"> на 2022–2024 годы прогнозируются в сумме 209 272,6 млн сомов, 223 684,3 млн сомов и 245 523,0 млн сомов соответственно.</w:t>
      </w:r>
    </w:p>
    <w:p>
      <w:pPr>
        <w:spacing w:after="200"/>
        <w:jc w:val="right"/>
      </w:pPr>
      <w:r>
        <w:rPr>
          <w:rFonts w:ascii="Arial" w:cs="Arial" w:eastAsia="Arial" w:hAnsi="Arial"/>
          <w:b/>
          <w:bCs/>
          <w:sz w:val="24"/>
          <w:szCs w:val="24"/>
        </w:rPr>
        <w:t xml:space="preserve">Таблица 2</w:t>
      </w:r>
    </w:p>
    <w:p>
      <w:pPr>
        <w:spacing w:after="240" w:before="200"/>
        <w:jc w:val="center"/>
      </w:pPr>
      <w:r>
        <w:rPr>
          <w:rFonts w:ascii="Arial" w:cs="Arial" w:eastAsia="Arial" w:hAnsi="Arial"/>
          <w:b/>
          <w:bCs/>
          <w:sz w:val="32"/>
          <w:szCs w:val="32"/>
        </w:rPr>
        <w:t xml:space="preserve">Основные параметры государственного бюджета на 2019–2024 годы, без учета официальных трансфертов и средств государственных инвестиций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6"/>
        <w:gridCol w:w="1222"/>
        <w:gridCol w:w="1222"/>
        <w:gridCol w:w="1222"/>
        <w:gridCol w:w="1222"/>
        <w:gridCol w:w="1222"/>
        <w:gridCol w:w="1222"/>
      </w:tblGrid>
      <w:tr>
        <w:tc>
          <w:tcPr>
            <w:tcW w:type="dxa" w:w="28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доходы, без учета официальных трансфертов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153 839,8</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140 233,0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175 479,7</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209 272,6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223 684,3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245 523,0</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w:t>
            </w:r>
            <w:r>
              <w:rPr>
                <w:rFonts w:ascii="Arial" w:cs="Arial" w:eastAsia="Arial" w:hAnsi="Arial"/>
                <w:sz w:val="24"/>
                <w:szCs w:val="24"/>
              </w:rPr>
              <w:t xml:space="preserve">к </w:t>
            </w:r>
            <w:r>
              <w:rPr>
                <w:rFonts w:ascii="Arial" w:cs="Arial" w:eastAsia="Arial" w:hAnsi="Arial"/>
                <w:sz w:val="24"/>
                <w:szCs w:val="24"/>
              </w:rPr>
              <w:t xml:space="preserve">ВВП</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расходы, без учета капитальных расходов из внешних источников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154 687,4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159 657,3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177 191,1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208 652,5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212 947,4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221 156,9</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Дефицит/профицит бюджета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-19 424,3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-1 711,4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10 736,9</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24 366,2</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Расходы государственного бюджета прогнозируются с ростом в среднесрочной перспективе. Расходы увеличатся с 234 785,9 млн сомов в 2022 году до 246 392,6 млн сомов в 2024 году. При этом, доля расходов в ВВП будет снижаться, начиная с 2022 года. Данное снижение обусловлено снижением доли текущих расходов (фонд оплаты труда, использование и приобретение товаров и услуг, проценты по внутреннему и внешнему долгу, трансферты ФОМС и СФ и др.) в ВВП с 26,4 % в 2022 году до 23,7 % в 2024 году. </w:t>
      </w:r>
    </w:p>
    <w:p>
      <w:pPr>
        <w:spacing w:after="120"/>
        <w:ind w:firstLine="709"/>
        <w:jc w:val="both"/>
      </w:pPr>
      <w:r>
        <w:rPr>
          <w:rFonts w:ascii="Arial" w:cs="Arial" w:eastAsia="Arial" w:hAnsi="Arial"/>
          <w:sz w:val="24"/>
          <w:szCs w:val="24"/>
        </w:rPr>
        <w:t xml:space="preserve">Согласно таблице 2, расходы государственного бюджета</w:t>
      </w:r>
      <w:r>
        <w:rPr>
          <w:rFonts w:ascii="Arial" w:cs="Arial" w:eastAsia="Arial" w:hAnsi="Arial"/>
          <w:sz w:val="24"/>
          <w:szCs w:val="24"/>
        </w:rPr>
        <w:t xml:space="preserve">,</w:t>
      </w:r>
      <w:r>
        <w:rPr>
          <w:rFonts w:ascii="Arial" w:cs="Arial" w:eastAsia="Arial" w:hAnsi="Arial"/>
          <w:sz w:val="24"/>
          <w:szCs w:val="24"/>
        </w:rPr>
        <w:t xml:space="preserve"> без учета средств государственных инвестиций, т.е. без учета капитальных расходов из внешних источников, прогнозируются с увеличением с 209 272,6 млн сомов в 2022 году до 245 523,0 млн сомов в 2024 году.</w:t>
      </w:r>
    </w:p>
    <w:p>
      <w:pPr>
        <w:spacing w:after="120"/>
        <w:ind w:firstLine="709"/>
        <w:jc w:val="both"/>
      </w:pPr>
      <w:r>
        <w:rPr>
          <w:rFonts w:ascii="Arial" w:cs="Arial" w:eastAsia="Arial" w:hAnsi="Arial"/>
          <w:sz w:val="24"/>
          <w:szCs w:val="24"/>
        </w:rPr>
        <w:t xml:space="preserve">Дефицит государственного бюджета в 2022 году прогнозируется в сумме 9 121,7 млн сомов или 1,3 % ВВП. В 2023 году дефицит государственного бюджета составит 1,0 % ВВП, в 2024 году прогнозируется профицит государственного бюджета в 1,0 % ВВП.</w:t>
      </w:r>
    </w:p>
    <w:p>
      <w:pPr>
        <w:spacing w:after="120"/>
        <w:jc w:val="both"/>
      </w:pPr>
      <w:r>
        <w:rPr>
          <w:rFonts w:ascii="Arial" w:cs="Arial" w:eastAsia="Arial" w:hAnsi="Arial"/>
          <w:sz w:val="24"/>
          <w:szCs w:val="24"/>
        </w:rPr>
        <w:t xml:space="preserve"> При этом, без учета официальных трансфертов и средств государственных инвестиций в среднесрочной перспективе прогнозируется стабильный профицит государственного бюджета. Так, в 2022 году прогнозируется профицит на сумму 620,0 млн сомов, в 2023 году – 10 736,9 млн сомов и в 2024 году – 24 366,2 млн сомов. Это свидетельствует о том, что собственные доходы государственного бюджета (налоговые и неналоговые доходы) полностью покрывают текущие расходы, а также капитальные расходы из внутренних источников.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3.3. Доходы бюджета: исполнение и прогноз</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Доходы государственного бюджета в период 2019</w:t>
      </w:r>
      <w:r>
        <w:rPr>
          <w:rFonts w:ascii="Arial" w:cs="Arial" w:eastAsia="Arial" w:hAnsi="Arial"/>
          <w:sz w:val="24"/>
          <w:szCs w:val="24"/>
        </w:rPr>
        <w:t xml:space="preserve">–</w:t>
      </w:r>
      <w:r>
        <w:rPr>
          <w:rFonts w:ascii="Arial" w:cs="Arial" w:eastAsia="Arial" w:hAnsi="Arial"/>
          <w:b/>
          <w:bCs/>
          <w:sz w:val="24"/>
          <w:szCs w:val="24"/>
        </w:rPr>
        <w:t xml:space="preserve">2020 годов</w:t>
      </w:r>
    </w:p>
    <w:p>
      <w:pPr>
        <w:spacing w:after="120"/>
        <w:ind w:firstLine="709"/>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Доходы государственного бюджета за 2019–2020 годы характеризуются нестабильностью поступлений, что обусловлено распространением в 2020 году пандемии COVID-19 на международном уровне. </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Рисунок 1</w:t>
      </w:r>
    </w:p>
    <w:p>
      <w:pPr>
        <w:spacing w:after="200"/>
        <w:jc w:val="center"/>
      </w:pPr>
      <w:r>
        <w:rPr>
          <w:rFonts w:ascii="Arial" w:cs="Arial" w:eastAsia="Arial" w:hAnsi="Arial"/>
          <w:sz w:val="24"/>
          <w:szCs w:val="24"/>
        </w:rPr>
        <w:t xml:space="preserve">Доходы государственного бюджета, 2018</w:t>
      </w:r>
      <w:r>
        <w:rPr>
          <w:rFonts w:ascii="Arial" w:cs="Arial" w:eastAsia="Arial" w:hAnsi="Arial"/>
          <w:sz w:val="24"/>
          <w:szCs w:val="24"/>
        </w:rPr>
        <w:t xml:space="preserve">–</w:t>
      </w:r>
      <w:r>
        <w:rPr>
          <w:rFonts w:ascii="Arial" w:cs="Arial" w:eastAsia="Arial" w:hAnsi="Arial"/>
          <w:sz w:val="24"/>
          <w:szCs w:val="24"/>
        </w:rPr>
        <w:t xml:space="preserve">2020 годы (млрд сомов)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2019 году доходы государственного бюджета составили 167 328,6 млн сомов или 27,0 % ВВП. В 2019 году благодаря положительной динамике экономического роста объем налоговых доходов составил 121 525,5 млн сомов, с увеличением от уровня предыдущего года на 4 911,8 млн сомов, в основном за счет таких налогов, как подоходный налог, налог на прибыль, налог на доходы золотодобывающих компаний, налог на валовый доход Кумтора и налогов на международную торговлю и операции. Рост таможенных платежей в 2019 году связан с продлением срока упрощенного таможенного оформления легковых автотранспортных средств, а также увеличением поступлений ввозных таможенных пошлин в рамках ЕАЭС, в связи с ростом объемов внешней торговли стран ЕАЭС с третьими странами. </w:t>
      </w:r>
    </w:p>
    <w:p>
      <w:pPr>
        <w:spacing w:after="120"/>
        <w:ind w:firstLine="720"/>
        <w:jc w:val="both"/>
      </w:pPr>
      <w:r>
        <w:rPr>
          <w:rFonts w:ascii="Arial" w:cs="Arial" w:eastAsia="Arial" w:hAnsi="Arial"/>
          <w:sz w:val="24"/>
          <w:szCs w:val="24"/>
        </w:rPr>
        <w:t xml:space="preserve">В 2020 году пандемия коронавирусной инфекции COVID-19 и карантинные меры по ее сдерживанию привели к негативным последствиям практически для всех отраслей экономики республики, что оказало отрицательное влияние на поступления доходной части бюджета. Объем доходов государственного бюджета в 2020 году составил 152 051,1 млн сомов. Следовательно, доходы государственного бюджета в 2020 году снизились в сравнении с поступлениями 2019 года на 15 277,5 млн сомов. Доля доходов в объеме ВВП снизилась на 1,6 процентного пункта, составив 25,4 % ВВП.</w:t>
      </w:r>
    </w:p>
    <w:p>
      <w:pPr>
        <w:spacing w:after="120"/>
        <w:ind w:firstLine="720"/>
        <w:jc w:val="both"/>
      </w:pPr>
      <w:r>
        <w:rPr>
          <w:rFonts w:ascii="Arial" w:cs="Arial" w:eastAsia="Arial" w:hAnsi="Arial"/>
          <w:sz w:val="24"/>
          <w:szCs w:val="24"/>
        </w:rPr>
        <w:t xml:space="preserve">Объем налоговых доходов в 2020 году составил 106 929,2 млн сомов, снизившись относительно уровня предыдущего года на 14 596,3 млн сомов. Удельный вес налоговых доходов в объеме ВВП снизился в сравнении с предыдущим годом на 1,7 процентн</w:t>
      </w:r>
      <w:r>
        <w:rPr>
          <w:rFonts w:ascii="Arial" w:cs="Arial" w:eastAsia="Arial" w:hAnsi="Arial"/>
          <w:sz w:val="24"/>
          <w:szCs w:val="24"/>
        </w:rPr>
        <w:t xml:space="preserve">ого </w:t>
      </w:r>
      <w:r>
        <w:rPr>
          <w:rFonts w:ascii="Arial" w:cs="Arial" w:eastAsia="Arial" w:hAnsi="Arial"/>
          <w:sz w:val="24"/>
          <w:szCs w:val="24"/>
        </w:rPr>
        <w:t xml:space="preserve">пункта, составив в 2020 году 17,9 %. </w:t>
      </w:r>
    </w:p>
    <w:p>
      <w:pPr>
        <w:spacing w:after="200"/>
        <w:jc w:val="right"/>
      </w:pPr>
      <w:r>
        <w:rPr>
          <w:rFonts w:ascii="Arial" w:cs="Arial" w:eastAsia="Arial" w:hAnsi="Arial"/>
          <w:b/>
          <w:bCs/>
          <w:sz w:val="24"/>
          <w:szCs w:val="24"/>
        </w:rPr>
        <w:t xml:space="preserve">Рисунок 2</w:t>
      </w:r>
    </w:p>
    <w:p>
      <w:pPr>
        <w:spacing w:after="360"/>
        <w:jc w:val="center"/>
      </w:pPr>
      <w:r>
        <w:rPr>
          <w:rFonts w:ascii="Arial" w:cs="Arial" w:eastAsia="Arial" w:hAnsi="Arial"/>
          <w:b/>
          <w:bCs/>
          <w:sz w:val="24"/>
          <w:szCs w:val="24"/>
        </w:rPr>
        <w:t xml:space="preserve">Налоговые доходы государственного бюджета, администрируемые налоговой и таможенной службами, 2019</w:t>
      </w:r>
      <w:r>
        <w:rPr>
          <w:rFonts w:ascii="Arial" w:cs="Arial" w:eastAsia="Arial" w:hAnsi="Arial"/>
          <w:sz w:val="24"/>
          <w:szCs w:val="24"/>
        </w:rPr>
        <w:t xml:space="preserve">–</w:t>
      </w:r>
      <w:r>
        <w:rPr>
          <w:rFonts w:ascii="Arial" w:cs="Arial" w:eastAsia="Arial" w:hAnsi="Arial"/>
          <w:b/>
          <w:bCs/>
          <w:sz w:val="24"/>
          <w:szCs w:val="24"/>
        </w:rPr>
        <w:t xml:space="preserve">2020 годы (млрд сомов)</w:t>
      </w:r>
    </w:p>
    <w:p>
      <w:pPr>
        <w:spacing w:after="12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связи с введенными ограничениями по перемещению грузов через таможенные пункты пропуска, объем импорта товаров в 2020 году снизился по сравнению с 2019 годом на 26,2 %, что привело к уменьшению таможенных налогов и платежей по сравнению с показателем предыдущего года в 1,5 раза. Удельный вес таможенных налогов и платежей в ВВП сократился с 7,0 % в 2019 году до 4,8 % в 2020 году.</w:t>
      </w:r>
    </w:p>
    <w:p>
      <w:pPr>
        <w:spacing w:after="120"/>
        <w:ind w:firstLine="720"/>
        <w:jc w:val="both"/>
      </w:pPr>
      <w:r>
        <w:rPr>
          <w:rFonts w:ascii="Arial" w:cs="Arial" w:eastAsia="Arial" w:hAnsi="Arial"/>
          <w:sz w:val="24"/>
          <w:szCs w:val="24"/>
        </w:rPr>
        <w:t xml:space="preserve">Налоговые доходы, администрируемые налоговой службой, в 2020 году, несмотря на пандемию коронавирусной инфекции COVID-19, почти сохранили уровень поступлений 2019 года, в основном за счет налогов, связанных с недропользованием, в частности</w:t>
      </w:r>
      <w:r>
        <w:rPr>
          <w:rFonts w:ascii="Arial" w:cs="Arial" w:eastAsia="Arial" w:hAnsi="Arial"/>
          <w:sz w:val="24"/>
          <w:szCs w:val="24"/>
        </w:rPr>
        <w:t xml:space="preserve">,</w:t>
      </w:r>
      <w:r>
        <w:rPr>
          <w:rFonts w:ascii="Arial" w:cs="Arial" w:eastAsia="Arial" w:hAnsi="Arial"/>
          <w:sz w:val="24"/>
          <w:szCs w:val="24"/>
        </w:rPr>
        <w:t xml:space="preserve"> с производством золота. Повышение цены золота на рынке и курса доллара США к сому существенно повлияли на поступления налога на доходы золотодобывающих компаний и налога на валовый доход Кумтора, общая сумма которых возросла относительно аналогичного показателя предыдущего года более чем в 1,5 раза или на 4 670,2 млн сомов. В основном за счет этих 2-х налогов сумма налоговых доходов, администрируемых налоговой службой, осталась почти на уровне поступлений 2019 года, в размере 78 026,4 млн сомов. По остальным налогам наблюдается снижение поступлений.</w:t>
      </w:r>
    </w:p>
    <w:p>
      <w:pPr>
        <w:spacing w:after="120"/>
        <w:ind w:firstLine="720"/>
        <w:jc w:val="both"/>
      </w:pPr>
      <w:r>
        <w:rPr>
          <w:rFonts w:ascii="Arial" w:cs="Arial" w:eastAsia="Arial" w:hAnsi="Arial"/>
          <w:sz w:val="24"/>
          <w:szCs w:val="24"/>
        </w:rPr>
        <w:t xml:space="preserve">В 2019–2020 годах была сохранена тенденция к увеличению неналоговых доходов. В 2019 году поступления по неналоговым доходам составили 32 314,3 млн сомов, увеличившись по сравнению с предыдущим годом на 6 603,7 млн сомов. Удельный вес неналоговых доходов в объеме ВВП составил 5,2 %, увеличившись относительно показателя предыдущего года на 0,7 процентного пункта. Неналоговые доходы в 2020 году составили 33 303,8 млн сомов, с ростом относительно показателя предыдущего года на 989,5 млн сомов. Данный рост произошел за счет увеличения поступлений дивидендов, начисленных на государственный пакет акций, прибыли Национального банка Кыргызской Республики, подлежащей перечислению в бюджет, штрафов, санкций и конфискаций, и прочих неналоговых доходов. Удельный вес неналоговых доходов в объеме ВВП увеличился на 0,4 процентного пункта, с 5,2 % в 2019 году до 5,6 % в 2020 году. </w:t>
      </w:r>
    </w:p>
    <w:p>
      <w:pPr>
        <w:spacing w:after="120"/>
        <w:ind w:firstLine="720"/>
        <w:jc w:val="both"/>
      </w:pPr>
      <w:r>
        <w:rPr>
          <w:rFonts w:ascii="Arial" w:cs="Arial" w:eastAsia="Arial" w:hAnsi="Arial"/>
          <w:sz w:val="24"/>
          <w:szCs w:val="24"/>
        </w:rPr>
        <w:t xml:space="preserve">Если в 2019 году отмечался рост поступлений полученных официальных трансфертов, то в 2020 году отмечалось снижение. Объем полученных официальных трансфертов в 2019 году составил 13 488,7 млн сомов, увеличившись по сравнению с предыдущим годом на 4 272,6 млн сомов (в основном в связи с поступлением грантов России, Индии и Китая). В 2020 году полученные трансферты составили 11 818,1 млн сомов, со снижением по сравнению с предыдущим годом на 1 670,7 млн сомов, в связи с уменьшением поступлений программных грантов.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Оценка доходной части бюджета на 2021 год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2021 году доходы государственного бюджета планируются в объеме 193 550,6 млн сомов или на уровне 30,5 % ВВП. Налоговые доходы государственного бюджета прогнозируются в сумме 144 234,6 млн сомов, полученные официальные трансферты – 18 089,9 млн сомов и неналоговые доходы – 31 226,1 млн сомов.</w:t>
      </w:r>
    </w:p>
    <w:p>
      <w:pPr>
        <w:spacing w:after="120"/>
        <w:ind w:firstLine="709"/>
        <w:jc w:val="both"/>
      </w:pPr>
      <w:r>
        <w:rPr>
          <w:rFonts w:ascii="Arial" w:cs="Arial" w:eastAsia="Arial" w:hAnsi="Arial"/>
          <w:sz w:val="24"/>
          <w:szCs w:val="24"/>
        </w:rPr>
        <w:t xml:space="preserve">Согласно информации Государственной налоговой службы при Министерстве экономики и финансов Кыргызской Республики, возможно поступление дополнительных доходов в сумме 6 000,0 млн сомов (при условии, что налог на валовый доход Кумтора в текущем году поступит в полном объеме утвержденной суммы). При этом, в случае возможного обострения ситуации по распространению коронавирусной инфекции COVID-19 и недостижения ожидаемого прогноза социально-экономического развития Кыргызской Республики в 2021 году, возможны риски выпадений доходной части государственного бюджета.</w:t>
      </w:r>
    </w:p>
    <w:p>
      <w:pPr>
        <w:spacing w:after="120"/>
        <w:ind w:firstLine="709"/>
        <w:jc w:val="both"/>
      </w:pPr>
      <w:r>
        <w:rPr>
          <w:rFonts w:ascii="Arial" w:cs="Arial" w:eastAsia="Arial" w:hAnsi="Arial"/>
          <w:sz w:val="24"/>
          <w:szCs w:val="24"/>
        </w:rPr>
        <w:t xml:space="preserve">По информации Государственной таможенной службы при Министерстве экономики и финансов Кыргызской Республики, при сохранении ситуации </w:t>
      </w:r>
      <w:r>
        <w:rPr>
          <w:rFonts w:ascii="Arial" w:cs="Arial" w:eastAsia="Arial" w:hAnsi="Arial"/>
          <w:sz w:val="24"/>
          <w:szCs w:val="24"/>
        </w:rPr>
        <w:t xml:space="preserve">с </w:t>
      </w:r>
      <w:r>
        <w:rPr>
          <w:rFonts w:ascii="Arial" w:cs="Arial" w:eastAsia="Arial" w:hAnsi="Arial"/>
          <w:sz w:val="24"/>
          <w:szCs w:val="24"/>
        </w:rPr>
        <w:t xml:space="preserve">введен</w:t>
      </w:r>
      <w:r>
        <w:rPr>
          <w:rFonts w:ascii="Arial" w:cs="Arial" w:eastAsia="Arial" w:hAnsi="Arial"/>
          <w:sz w:val="24"/>
          <w:szCs w:val="24"/>
        </w:rPr>
        <w:t xml:space="preserve">ием</w:t>
      </w:r>
      <w:r>
        <w:rPr>
          <w:rFonts w:ascii="Arial" w:cs="Arial" w:eastAsia="Arial" w:hAnsi="Arial"/>
          <w:sz w:val="24"/>
          <w:szCs w:val="24"/>
        </w:rPr>
        <w:t xml:space="preserve"> ограничений по перемещению грузов, связанных с пандемией коронавирусной инфекции COVID-19, возможны риски недопоступления таможенных платежей и налогов.</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Оценка доходов государственного бюджета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 2022–2024 годы доходы государственного бюджета прогнозируются с ростом с 225 637,3 млн сомов в 2022 году до 254 670,8 млн сомов в 2024 году. Доля доходов в ВВП в 2022 году составит 31,6 % и снизится к 2024 году до 30,3 %, что будет обусловлено снижением уровня неналоговых доходов на 0,9 % ВВП и полученных официальных трансфертов (программные гранты и гранты государственных инвестиций) – на 1,2 % ВВП. </w:t>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3</w:t>
      </w:r>
    </w:p>
    <w:p>
      <w:pPr>
        <w:spacing w:after="360"/>
        <w:jc w:val="center"/>
      </w:pPr>
      <w:r>
        <w:rPr>
          <w:rFonts w:ascii="Arial" w:cs="Arial" w:eastAsia="Arial" w:hAnsi="Arial"/>
          <w:b/>
          <w:bCs/>
          <w:sz w:val="24"/>
          <w:szCs w:val="24"/>
        </w:rPr>
        <w:t xml:space="preserve">Доходы государственного бюджета, 2020</w:t>
      </w:r>
      <w:r>
        <w:rPr>
          <w:rFonts w:ascii="Arial" w:cs="Arial" w:eastAsia="Arial" w:hAnsi="Arial"/>
          <w:sz w:val="24"/>
          <w:szCs w:val="24"/>
        </w:rPr>
        <w:t xml:space="preserve">–</w:t>
      </w:r>
      <w:r>
        <w:rPr>
          <w:rFonts w:ascii="Arial" w:cs="Arial" w:eastAsia="Arial" w:hAnsi="Arial"/>
          <w:b/>
          <w:bCs/>
          <w:sz w:val="24"/>
          <w:szCs w:val="24"/>
        </w:rPr>
        <w:t xml:space="preserve">2024 годы (млрд.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0"/>
        <w:gridCol w:w="1047"/>
        <w:gridCol w:w="1047"/>
        <w:gridCol w:w="1111"/>
        <w:gridCol w:w="1224"/>
        <w:gridCol w:w="1369"/>
      </w:tblGrid>
      <w:tr>
        <w:tc>
          <w:tcPr>
            <w:tcW w:type="dxa" w:w="43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бюджет</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прогноз</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598,3</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635,0</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713,7</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772,6</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840,2</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152,1</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193,6</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225,6</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238,3</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254,7</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25,4</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30,5</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31,6</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30,8</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144,2</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174,6</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190,8</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212,0</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24,5</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33,3</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34,7</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32,8</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33,5</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Налоговые доходы увеличатся со 174 587,2 млн сомов в 2022 году до 211 979,1 млн сомов в 2024 году. По отношению к ВВП налоговые доходы в среднесрочном периоде увеличатся с 24,5 %</w:t>
      </w:r>
      <w:r>
        <w:rPr>
          <w:rFonts w:ascii="Arial" w:cs="Arial" w:eastAsia="Arial" w:hAnsi="Arial"/>
          <w:sz w:val="24"/>
          <w:szCs w:val="24"/>
        </w:rPr>
        <w:t xml:space="preserve"> к</w:t>
      </w:r>
      <w:r>
        <w:rPr>
          <w:rFonts w:ascii="Arial" w:cs="Arial" w:eastAsia="Arial" w:hAnsi="Arial"/>
          <w:sz w:val="24"/>
          <w:szCs w:val="24"/>
        </w:rPr>
        <w:t xml:space="preserve"> ВВП в 2022 году до 25,2 % </w:t>
      </w:r>
      <w:r>
        <w:rPr>
          <w:rFonts w:ascii="Arial" w:cs="Arial" w:eastAsia="Arial" w:hAnsi="Arial"/>
          <w:sz w:val="24"/>
          <w:szCs w:val="24"/>
        </w:rPr>
        <w:t xml:space="preserve">к </w:t>
      </w:r>
      <w:r>
        <w:rPr>
          <w:rFonts w:ascii="Arial" w:cs="Arial" w:eastAsia="Arial" w:hAnsi="Arial"/>
          <w:sz w:val="24"/>
          <w:szCs w:val="24"/>
        </w:rPr>
        <w:t xml:space="preserve">ВВП в 2024 году. Удельный вес их в общей сумме доходов бюджета увеличится с 77,4 % в 2022 году до 83,2 % в 2024 году. </w:t>
      </w:r>
    </w:p>
    <w:p>
      <w:pPr>
        <w:spacing w:after="120"/>
        <w:ind w:firstLine="709"/>
        <w:jc w:val="both"/>
      </w:pPr>
      <w:r>
        <w:rPr>
          <w:rFonts w:ascii="Arial" w:cs="Arial" w:eastAsia="Arial" w:hAnsi="Arial"/>
          <w:sz w:val="24"/>
          <w:szCs w:val="24"/>
        </w:rPr>
        <w:t xml:space="preserve">Поступления неналоговых доходов в период 2022–2024 годов составят в среднем 33 668,4 млн сомов. В объеме ВВП уровень неналоговых доходов снизится с 4,9 % в 2022 году до 4,0 % в 2024 году. Основную долю неналоговых доходов занимают такие поступления, как поступления от оказания платных услуг (порядка 50 %), прибыль Национального банка Кыргызской Республики, подлежащая перечислению в доходную часть бюджета, дивиденды, начисленные на государственный пакет акций, проценты по выданным бюджетным ссудам и кредитам. </w:t>
      </w:r>
    </w:p>
    <w:p>
      <w:pPr>
        <w:spacing w:after="120"/>
        <w:ind w:firstLine="709"/>
        <w:jc w:val="both"/>
      </w:pPr>
      <w:r>
        <w:rPr>
          <w:rFonts w:ascii="Arial" w:cs="Arial" w:eastAsia="Arial" w:hAnsi="Arial"/>
          <w:sz w:val="24"/>
          <w:szCs w:val="24"/>
        </w:rPr>
        <w:t xml:space="preserve">Поступления официальных трансфертов (программные гранты и гранты государственных инвестиций) в среднесрочном периоде прогнозируются со снижением с 16 391,7 млн сомов в 2022 году до 9 174,7 млн сомов в 2024 году. Доля официальных трансфертов в ВВП в 2024 году по отношению к 2022 году снизится на 1,2 % к ВВП, что будет связано со снижением поступлений, как грантов государственных инвестиций, так и программных грантов.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3.4. </w:t>
      </w:r>
      <w:r>
        <w:rPr>
          <w:rFonts w:ascii="Arial" w:cs="Arial" w:eastAsia="Arial" w:hAnsi="Arial"/>
          <w:b/>
          <w:bCs/>
          <w:sz w:val="24"/>
          <w:szCs w:val="24"/>
        </w:rPr>
        <w:t xml:space="preserve">Макроэкономические и фискальные риски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Макроэкономические риски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К внешним и внутренним рискам, которые могут оказать воздействие на рост ВВП в 2022–2024 годах, относятся:</w:t>
      </w:r>
    </w:p>
    <w:p>
      <w:pPr>
        <w:spacing w:after="120"/>
        <w:ind w:firstLine="709"/>
        <w:jc w:val="both"/>
      </w:pPr>
      <w:r>
        <w:rPr>
          <w:rFonts w:ascii="Arial" w:cs="Arial" w:eastAsia="Arial" w:hAnsi="Arial"/>
          <w:sz w:val="24"/>
          <w:szCs w:val="24"/>
        </w:rPr>
        <w:t xml:space="preserve">- затяжная пандемия коронавирусной инфекции COVID-19, соответственно длительное сохранение ограничений, что окажет негативное влияние на спрос в мировой экономике:</w:t>
      </w:r>
    </w:p>
    <w:p>
      <w:pPr>
        <w:spacing w:after="120"/>
        <w:ind w:firstLine="709"/>
        <w:jc w:val="both"/>
      </w:pPr>
      <w:r>
        <w:rPr>
          <w:rFonts w:ascii="Arial" w:cs="Arial" w:eastAsia="Arial" w:hAnsi="Arial"/>
          <w:sz w:val="24"/>
          <w:szCs w:val="24"/>
        </w:rPr>
        <w:t xml:space="preserve">- медленное продвижение вакцин и появление вирусных мутаций, устойчивых к существующим вакцинам, замедлит восстановление экономики;</w:t>
      </w:r>
    </w:p>
    <w:p>
      <w:pPr>
        <w:spacing w:after="120"/>
        <w:ind w:firstLine="709"/>
        <w:jc w:val="both"/>
      </w:pPr>
      <w:r>
        <w:rPr>
          <w:rFonts w:ascii="Arial" w:cs="Arial" w:eastAsia="Arial" w:hAnsi="Arial"/>
          <w:sz w:val="24"/>
          <w:szCs w:val="24"/>
        </w:rPr>
        <w:t xml:space="preserve">- эскалация геополитической напряженности, соответственно замедление экономической активности в отдельных странах </w:t>
      </w:r>
      <w:r>
        <w:rPr>
          <w:rFonts w:ascii="Arial" w:cs="Arial" w:eastAsia="Arial" w:hAnsi="Arial"/>
          <w:sz w:val="24"/>
          <w:szCs w:val="24"/>
        </w:rPr>
        <w:t xml:space="preserve">– </w:t>
      </w:r>
      <w:r>
        <w:rPr>
          <w:rFonts w:ascii="Arial" w:cs="Arial" w:eastAsia="Arial" w:hAnsi="Arial"/>
          <w:sz w:val="24"/>
          <w:szCs w:val="24"/>
        </w:rPr>
        <w:t xml:space="preserve">основных торговых партнерах:</w:t>
      </w:r>
    </w:p>
    <w:p>
      <w:pPr>
        <w:spacing w:after="120"/>
        <w:ind w:firstLine="709"/>
        <w:jc w:val="both"/>
      </w:pPr>
      <w:r>
        <w:rPr>
          <w:rFonts w:ascii="Arial" w:cs="Arial" w:eastAsia="Arial" w:hAnsi="Arial"/>
          <w:sz w:val="24"/>
          <w:szCs w:val="24"/>
        </w:rPr>
        <w:t xml:space="preserve">- конфронтация США и отдельных стран с Китайской Народной Республикой, вызванная борьбой за рынки высоких технологий, может перерасти в жесткое противостояние в экономике;</w:t>
      </w:r>
    </w:p>
    <w:p>
      <w:pPr>
        <w:spacing w:after="120"/>
        <w:ind w:firstLine="709"/>
        <w:jc w:val="both"/>
      </w:pPr>
      <w:r>
        <w:rPr>
          <w:rFonts w:ascii="Arial" w:cs="Arial" w:eastAsia="Arial" w:hAnsi="Arial"/>
          <w:sz w:val="24"/>
          <w:szCs w:val="24"/>
        </w:rPr>
        <w:t xml:space="preserve">- нестабильность на фондовых рынках, что отрицательно может сказаться на котировках ценных бумаг и привести к волатильности валют;</w:t>
      </w:r>
    </w:p>
    <w:p>
      <w:pPr>
        <w:spacing w:after="120"/>
        <w:ind w:firstLine="709"/>
        <w:jc w:val="both"/>
      </w:pPr>
      <w:r>
        <w:rPr>
          <w:rFonts w:ascii="Arial" w:cs="Arial" w:eastAsia="Arial" w:hAnsi="Arial"/>
          <w:sz w:val="24"/>
          <w:szCs w:val="24"/>
        </w:rPr>
        <w:t xml:space="preserve">- расширение антироссийских санкций, что негативно может отразиться на экономике Российской Федерации и повлиять через спрос и внешнюю торговлю на национальную экономику;</w:t>
      </w:r>
    </w:p>
    <w:p>
      <w:pPr>
        <w:spacing w:after="120"/>
        <w:ind w:firstLine="709"/>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120"/>
        <w:ind w:firstLine="709"/>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120"/>
        <w:ind w:firstLine="709"/>
        <w:jc w:val="both"/>
      </w:pPr>
      <w:r>
        <w:rPr>
          <w:rFonts w:ascii="Arial" w:cs="Arial" w:eastAsia="Arial" w:hAnsi="Arial"/>
          <w:sz w:val="24"/>
          <w:szCs w:val="24"/>
        </w:rPr>
        <w:t xml:space="preserve">- высокий уровень неформальной экономики (по данным Национального статистического комитета Кыргызской Республики</w:t>
      </w:r>
      <w:r>
        <w:rPr>
          <w:rFonts w:ascii="Arial" w:cs="Arial" w:eastAsia="Arial" w:hAnsi="Arial"/>
          <w:sz w:val="24"/>
          <w:szCs w:val="24"/>
        </w:rPr>
        <w:t xml:space="preserve">,</w:t>
      </w:r>
      <w:r>
        <w:rPr>
          <w:rFonts w:ascii="Arial" w:cs="Arial" w:eastAsia="Arial" w:hAnsi="Arial"/>
          <w:sz w:val="24"/>
          <w:szCs w:val="24"/>
        </w:rPr>
        <w:t xml:space="preserve"> за 2019 год составил 23,5 %.);</w:t>
      </w:r>
    </w:p>
    <w:p>
      <w:pPr>
        <w:spacing w:after="120"/>
        <w:ind w:firstLine="709"/>
        <w:jc w:val="both"/>
      </w:pPr>
      <w:r>
        <w:rPr>
          <w:rFonts w:ascii="Arial" w:cs="Arial" w:eastAsia="Arial" w:hAnsi="Arial"/>
          <w:sz w:val="24"/>
          <w:szCs w:val="24"/>
        </w:rPr>
        <w:t xml:space="preserve">- сохранение отдельных таможенных барьеров и т.д.</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Риски по исполнению доходной части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среднесрочный период существуют следующие риски по исполнению прогнозных показателей по доходной части государственного бюджета в 2022–2024 годах:</w:t>
      </w:r>
    </w:p>
    <w:p>
      <w:pPr>
        <w:spacing w:after="120"/>
        <w:ind w:firstLine="709"/>
        <w:jc w:val="both"/>
      </w:pPr>
      <w:r>
        <w:rPr>
          <w:rFonts w:ascii="Arial" w:cs="Arial" w:eastAsia="Arial" w:hAnsi="Arial"/>
          <w:sz w:val="24"/>
          <w:szCs w:val="24"/>
        </w:rPr>
        <w:t xml:space="preserve">- снижение и недостижение показателей среднесрочного прогноза социально-экономического развития республики;</w:t>
      </w:r>
    </w:p>
    <w:p>
      <w:pPr>
        <w:spacing w:after="120"/>
        <w:ind w:firstLine="709"/>
        <w:jc w:val="both"/>
      </w:pPr>
      <w:r>
        <w:rPr>
          <w:rFonts w:ascii="Arial" w:cs="Arial" w:eastAsia="Arial" w:hAnsi="Arial"/>
          <w:sz w:val="24"/>
          <w:szCs w:val="24"/>
        </w:rPr>
        <w:t xml:space="preserve">- снижение объемов производства золота, в том числе на руднике Кумтор;</w:t>
      </w:r>
    </w:p>
    <w:p>
      <w:pPr>
        <w:spacing w:after="120"/>
        <w:ind w:firstLine="709"/>
        <w:jc w:val="both"/>
      </w:pPr>
      <w:r>
        <w:rPr>
          <w:rFonts w:ascii="Arial" w:cs="Arial" w:eastAsia="Arial" w:hAnsi="Arial"/>
          <w:sz w:val="24"/>
          <w:szCs w:val="24"/>
        </w:rPr>
        <w:t xml:space="preserve">- снижение цены золота на мировых рынках;</w:t>
      </w:r>
    </w:p>
    <w:p>
      <w:pPr>
        <w:spacing w:after="120"/>
        <w:ind w:firstLine="709"/>
        <w:jc w:val="both"/>
      </w:pPr>
      <w:r>
        <w:rPr>
          <w:rFonts w:ascii="Arial" w:cs="Arial" w:eastAsia="Arial" w:hAnsi="Arial"/>
          <w:sz w:val="24"/>
          <w:szCs w:val="24"/>
        </w:rPr>
        <w:t xml:space="preserve">- снижение объемов импорта из государств – членов ЕАЭС и из третьих стран; </w:t>
      </w:r>
    </w:p>
    <w:p>
      <w:pPr>
        <w:spacing w:after="120"/>
        <w:ind w:firstLine="709"/>
        <w:jc w:val="both"/>
      </w:pPr>
      <w:r>
        <w:rPr>
          <w:rFonts w:ascii="Arial" w:cs="Arial" w:eastAsia="Arial" w:hAnsi="Arial"/>
          <w:sz w:val="24"/>
          <w:szCs w:val="24"/>
        </w:rPr>
        <w:t xml:space="preserve">- риск недопоступления средств от проведения конкурсов и аукционов на право пользования недрами, в случае несостоявшихся конкурсов и аукционов;</w:t>
      </w:r>
    </w:p>
    <w:p>
      <w:pPr>
        <w:spacing w:after="120"/>
        <w:ind w:firstLine="709"/>
        <w:jc w:val="both"/>
      </w:pPr>
      <w:r>
        <w:rPr>
          <w:rFonts w:ascii="Arial" w:cs="Arial" w:eastAsia="Arial" w:hAnsi="Arial"/>
          <w:sz w:val="24"/>
          <w:szCs w:val="24"/>
        </w:rPr>
        <w:t xml:space="preserve">- в случае сохранения эпидемиологической ситуации в республике, вызванной пандемией коронавирусной инфекции COVID-19, существуют риски недопоступления доходов бюджета. </w:t>
      </w:r>
    </w:p>
    <w:p>
      <w:pPr>
        <w:spacing w:after="120"/>
        <w:ind w:firstLine="708"/>
        <w:jc w:val="both"/>
      </w:pPr>
      <w:r>
        <w:rPr>
          <w:rFonts w:ascii="Arial" w:cs="Arial" w:eastAsia="Arial" w:hAnsi="Arial"/>
          <w:sz w:val="24"/>
          <w:szCs w:val="24"/>
        </w:rPr>
        <w:t xml:space="preserve">За IV квартал 2020 года и I квартал 2021 года проведена инвентаризация нормативно-правовой базы фискального законодательства по совершенствованию администрирования налогов.</w:t>
      </w:r>
    </w:p>
    <w:p>
      <w:pPr>
        <w:spacing w:after="120"/>
        <w:ind w:firstLine="708"/>
        <w:jc w:val="both"/>
      </w:pPr>
      <w:r>
        <w:rPr>
          <w:rFonts w:ascii="Arial" w:cs="Arial" w:eastAsia="Arial" w:hAnsi="Arial"/>
          <w:sz w:val="24"/>
          <w:szCs w:val="24"/>
        </w:rPr>
        <w:t xml:space="preserve">В принятых нормативных правовых актах и в налоговом законодательстве Кыргызской Республики за указанный период налоговые и таможенные льготы не представлены, а направлены на совершенствование администрирования налогов, в связи с чем влияние на доходную часть бюджета нейтральное.</w:t>
      </w:r>
    </w:p>
    <w:p>
      <w:pPr>
        <w:spacing w:after="120"/>
        <w:ind w:firstLine="708"/>
        <w:jc w:val="both"/>
      </w:pPr>
      <w:r>
        <w:rPr>
          <w:rFonts w:ascii="Arial" w:cs="Arial" w:eastAsia="Arial" w:hAnsi="Arial"/>
          <w:sz w:val="24"/>
          <w:szCs w:val="24"/>
        </w:rPr>
        <w:t xml:space="preserve">При этом по расчетам, проведенным Министерством экономики и финансов Кыргызской Республики совместно с налоговой и таможенной службами, налоговые льготы и освобождения, предусмотренные действующим налоговым законодательством, оценочно составили:</w:t>
      </w:r>
    </w:p>
    <w:p>
      <w:pPr>
        <w:spacing w:after="120"/>
        <w:ind w:firstLine="709"/>
        <w:jc w:val="both"/>
      </w:pPr>
      <w:r>
        <w:rPr>
          <w:rFonts w:ascii="Arial" w:cs="Arial" w:eastAsia="Arial" w:hAnsi="Arial"/>
          <w:sz w:val="24"/>
          <w:szCs w:val="24"/>
        </w:rPr>
        <w:t xml:space="preserve">- в 2018 году – 25 222,2 млн сомов или 4,5 % ВВП;</w:t>
      </w:r>
    </w:p>
    <w:p>
      <w:pPr>
        <w:spacing w:after="120"/>
        <w:ind w:firstLine="709"/>
        <w:jc w:val="both"/>
      </w:pPr>
      <w:r>
        <w:rPr>
          <w:rFonts w:ascii="Arial" w:cs="Arial" w:eastAsia="Arial" w:hAnsi="Arial"/>
          <w:sz w:val="24"/>
          <w:szCs w:val="24"/>
        </w:rPr>
        <w:t xml:space="preserve">- в 2019 году – 29 191,6 млн сомов или 4,7 % ВВП;</w:t>
      </w:r>
    </w:p>
    <w:p>
      <w:pPr>
        <w:spacing w:after="120"/>
        <w:ind w:firstLine="709"/>
        <w:jc w:val="both"/>
      </w:pPr>
      <w:r>
        <w:rPr>
          <w:rFonts w:ascii="Arial" w:cs="Arial" w:eastAsia="Arial" w:hAnsi="Arial"/>
          <w:sz w:val="24"/>
          <w:szCs w:val="24"/>
        </w:rPr>
        <w:t xml:space="preserve">- в 2020 году – 32 256,6 млн сомов или 5,4 % ВВП.</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Риски по государственным инвестициям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 основании данных от исполнительных агентств, сформирован предварительный бюджет государственных инвестиций на 2022–2024 годы в совокупности в размере 130,1 млрд. сомов – по внешнему финансированию и 6,1 млрд сомов – по внутреннему финансированию. Однако учитывая, что зачастую исполнительными агентствами предоставляются завышенные прогнозные показатели для включения в бюджет государственных инвестиций и при внесении изменений данные параметры подвергаются существенной корректировке, был сокращен бюджет государственных инвестиций по внешнему финансированию на 2022–2024 годы на 14,7 млрд сомов, при этом внутреннее финансирование было увеличено на 0,4 млрд сомов.</w:t>
      </w:r>
    </w:p>
    <w:p>
      <w:pPr>
        <w:spacing w:after="120"/>
        <w:ind w:firstLine="709"/>
        <w:jc w:val="both"/>
      </w:pPr>
      <w:r>
        <w:rPr>
          <w:rFonts w:ascii="Arial" w:cs="Arial" w:eastAsia="Arial" w:hAnsi="Arial"/>
          <w:sz w:val="24"/>
          <w:szCs w:val="24"/>
        </w:rPr>
        <w:t xml:space="preserve">Так, например, согласно таблице 4, из-за возможного риска неполноценного исполнения утвержденных планов работ, закупок и несвоевременного выполнения процедур по вступлению в силу подписанных соглашений (ратификация и др.), а также принимая во внимание, что из-за возможных задержек в реализации проектов государственных инвестиций некоторые оплаты могут перейти в бюджет следующего отчетного года, бюджет государственных инвестиций на 2022 год был сокращен на 21,5 млрд сомов. При этом увеличен бюджет государственных инвестиций на 2023 и 2024 годы на 3,6 млрд сомов и 2,8 млрд сомов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4</w:t>
      </w:r>
    </w:p>
    <w:p>
      <w:pPr>
        <w:spacing w:after="360"/>
        <w:jc w:val="center"/>
      </w:pPr>
      <w:r>
        <w:rPr>
          <w:rFonts w:ascii="Arial" w:cs="Arial" w:eastAsia="Arial" w:hAnsi="Arial"/>
          <w:b/>
          <w:bCs/>
          <w:sz w:val="24"/>
          <w:szCs w:val="24"/>
        </w:rPr>
        <w:t xml:space="preserve">Сравнительная таблица по Основным направлениям фискальной политики на 2022</w:t>
      </w:r>
      <w:r>
        <w:rPr>
          <w:rFonts w:ascii="Arial" w:cs="Arial" w:eastAsia="Arial" w:hAnsi="Arial"/>
          <w:sz w:val="24"/>
          <w:szCs w:val="24"/>
        </w:rPr>
        <w:t xml:space="preserve">–</w:t>
      </w:r>
      <w:r>
        <w:rPr>
          <w:rFonts w:ascii="Arial" w:cs="Arial" w:eastAsia="Arial" w:hAnsi="Arial"/>
          <w:b/>
          <w:bCs/>
          <w:sz w:val="24"/>
          <w:szCs w:val="24"/>
        </w:rPr>
        <w:t xml:space="preserve">2024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1073"/>
        <w:gridCol w:w="1073"/>
        <w:gridCol w:w="1073"/>
        <w:gridCol w:w="926"/>
        <w:gridCol w:w="926"/>
        <w:gridCol w:w="926"/>
        <w:gridCol w:w="969"/>
        <w:gridCol w:w="969"/>
        <w:gridCol w:w="969"/>
      </w:tblGrid>
      <w:tr>
        <w:tc>
          <w:tcPr>
            <w:tcW w:type="dxa" w:w="12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Государственные инвестиции</w:t>
            </w:r>
          </w:p>
        </w:tc>
        <w:tc>
          <w:tcPr>
            <w:tcW w:type="dxa" w:w="32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 </w:t>
            </w:r>
          </w:p>
        </w:tc>
        <w:tc>
          <w:tcPr>
            <w:tcW w:type="dxa" w:w="27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29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w:t>
            </w:r>
          </w:p>
        </w:tc>
      </w:tr>
      <w:tr>
        <w:tc>
          <w:tcPr>
            <w:vMerge w:val="continue"/>
            <w:tcBorders>
              <w:top w:val="single" w:color="CBBF9E" w:sz="4"/>
              <w:left w:val="single" w:color="CBBF9E" w:sz="4"/>
              <w:bottom w:val="single" w:color="CBBF9E" w:sz="4"/>
              <w:right w:val="single" w:color="CBBF9E" w:sz="4"/>
            </w:tcBorders>
          </w:tcP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бюджет</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 бюджет </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бюджет</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 бюджет </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бюджет</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 бюджет </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2 486,1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2 081,4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2 087,3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2 220,1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1 531,0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1 410,2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56 800,7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35 697,5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-21 103,3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41 085,2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44 544,6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3 459,4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32 185,2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35 142,9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2 957,8</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том числе </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40 696,4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21 917,9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-18 778,5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29 064,5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31 301,9</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2 237,4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22 941,4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26 717,0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3 775,7</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16 104,3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13 779,5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-2 324,8</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12 020,7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13 242,6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1 221,9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9 243,9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8 425,9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-817,9</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56 800,7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35 697,5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-21 103,3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41 085,2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44 544,6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3 459,4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32 185,2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35 142,9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2 957,8</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Следует отметить, что даже при сокращении бюджета государственных инвестиций на 2022 год, с учетом показателей прошлых лет по освоению бюджета государственных инвестиций, а также сохраняющуюся неопределенность, связанную с пандемией коронавирусной инфекции COVID-19, существует риск неполноценного освоения запланированных средств государственных инвестиций в 2022 году. </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Риски по государственному долгу</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Фискальные риски, связанные с государственным долгом, — это те факторы государственного долга, которые могут вызвать отклонения действительных результатов от прогнозов бюджета и Основных направлений фискальной политики (далее – ОНФП).</w:t>
      </w:r>
    </w:p>
    <w:p>
      <w:pPr>
        <w:spacing w:after="120"/>
        <w:ind w:firstLine="709"/>
        <w:jc w:val="both"/>
      </w:pPr>
      <w:r>
        <w:rPr>
          <w:rFonts w:ascii="Arial" w:cs="Arial" w:eastAsia="Arial" w:hAnsi="Arial"/>
          <w:sz w:val="24"/>
          <w:szCs w:val="24"/>
        </w:rPr>
        <w:t xml:space="preserve">Ключевые элементы, которые могут повлиять на риски, связанные с государственным долгом:</w:t>
      </w:r>
    </w:p>
    <w:p>
      <w:pPr>
        <w:spacing w:after="120"/>
        <w:ind w:firstLine="709"/>
        <w:jc w:val="both"/>
      </w:pPr>
      <w:r>
        <w:rPr>
          <w:rFonts w:ascii="Arial" w:cs="Arial" w:eastAsia="Arial" w:hAnsi="Arial"/>
          <w:sz w:val="24"/>
          <w:szCs w:val="24"/>
        </w:rPr>
        <w:t xml:space="preserve">- ВВП. Соотношение уровня государственного долга и ВВП является важным показателем кредитоспособности, поэтому отклонения фактических показателей уровня государственного долга и ВВП от прогнозных показателей в бюджете и ОНФП имеют весомый характер. Расхождения в ВВП могут вызвать существенные изменения в данном соотношении;</w:t>
      </w:r>
    </w:p>
    <w:p>
      <w:pPr>
        <w:spacing w:after="120"/>
        <w:ind w:firstLine="709"/>
        <w:jc w:val="both"/>
      </w:pPr>
      <w:r>
        <w:rPr>
          <w:rFonts w:ascii="Arial" w:cs="Arial" w:eastAsia="Arial" w:hAnsi="Arial"/>
          <w:sz w:val="24"/>
          <w:szCs w:val="24"/>
        </w:rPr>
        <w:t xml:space="preserve">- Обменные курсы. Расхождения в обменных курсах могут также вызвать существенные изменения в соотношении уровня государственного долга и ВВП;</w:t>
      </w:r>
    </w:p>
    <w:p>
      <w:pPr>
        <w:spacing w:after="120"/>
        <w:ind w:firstLine="709"/>
        <w:jc w:val="both"/>
      </w:pPr>
      <w:r>
        <w:rPr>
          <w:rFonts w:ascii="Arial" w:cs="Arial" w:eastAsia="Arial" w:hAnsi="Arial"/>
          <w:sz w:val="24"/>
          <w:szCs w:val="24"/>
        </w:rPr>
        <w:t xml:space="preserve">- Ставка доходности ГЦБ. Расхождения в ставках доходности ГЦБ могут также вызвать существенные изменения в издержках по обслуживанию государственного долга, предусмотренных в бюджете и прогнозах.</w:t>
      </w:r>
    </w:p>
    <w:p>
      <w:pPr>
        <w:spacing w:after="120"/>
        <w:ind w:firstLine="709"/>
        <w:jc w:val="both"/>
      </w:pPr>
      <w:r>
        <w:rPr>
          <w:rFonts w:ascii="Arial" w:cs="Arial" w:eastAsia="Arial" w:hAnsi="Arial"/>
          <w:sz w:val="24"/>
          <w:szCs w:val="24"/>
        </w:rPr>
        <w:t xml:space="preserve">Фискальный риск государственного внутреннего долга представляет собой риск изменения доходности ГЦБ. Данный риск характеризуется следующей ситуацией. Доходность по ГЦБ устанавливается участниками рынка ГЦБ, в том числе с учетом ожидаемой инфляции. В случае увеличения инфляции выше прогнозируемой, возникает риск увеличения доходности при размещении ГЦБ, чем выше доходность, тем выше будущие платежи по погашению данных ГЦБ.</w:t>
      </w:r>
    </w:p>
    <w:p>
      <w:pPr>
        <w:spacing w:after="120"/>
        <w:ind w:firstLine="708"/>
        <w:jc w:val="both"/>
      </w:pPr>
      <w:r>
        <w:rPr>
          <w:rFonts w:ascii="Arial" w:cs="Arial" w:eastAsia="Arial" w:hAnsi="Arial"/>
          <w:sz w:val="24"/>
          <w:szCs w:val="24"/>
        </w:rPr>
        <w:t xml:space="preserve">Следовательно, возможны потенциальные риски недопоступления средств от выпуска и размещения ГЦБ в предусмотренных на 2022–2024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120"/>
        <w:ind w:firstLine="708"/>
        <w:jc w:val="both"/>
      </w:pPr>
      <w:r>
        <w:rPr>
          <w:rFonts w:ascii="Arial" w:cs="Arial" w:eastAsia="Arial" w:hAnsi="Arial"/>
          <w:sz w:val="24"/>
          <w:szCs w:val="24"/>
        </w:rPr>
        <w:t xml:space="preserve">Кроме того, 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120"/>
        <w:ind w:firstLine="709"/>
        <w:jc w:val="both"/>
      </w:pPr>
      <w:r>
        <w:rPr>
          <w:rFonts w:ascii="Arial" w:cs="Arial" w:eastAsia="Arial" w:hAnsi="Arial"/>
          <w:sz w:val="24"/>
          <w:szCs w:val="24"/>
        </w:rPr>
        <w:t xml:space="preserve">Расходы по погашению и обслуживанию государственного внутреннего долга согласно базовому и альтернативным сценариям представлены в приложении 3.</w:t>
      </w:r>
    </w:p>
    <w:p>
      <w:pPr>
        <w:spacing w:after="120"/>
        <w:jc w:val="both"/>
      </w:pPr>
      <w:r>
        <w:rPr>
          <w:rFonts w:ascii="Arial" w:cs="Arial" w:eastAsia="Arial" w:hAnsi="Arial"/>
          <w:sz w:val="24"/>
          <w:szCs w:val="24"/>
        </w:rPr>
        <w:t xml:space="preserve"> Фискальные риски государственного внешнего долга представляют собой риск обменного курса и риск снижения ВВП. </w:t>
      </w:r>
    </w:p>
    <w:p>
      <w:pPr>
        <w:spacing w:after="120"/>
        <w:ind w:firstLine="709"/>
        <w:jc w:val="both"/>
      </w:pPr>
      <w:r>
        <w:rPr>
          <w:rFonts w:ascii="Arial" w:cs="Arial" w:eastAsia="Arial" w:hAnsi="Arial"/>
          <w:sz w:val="24"/>
          <w:szCs w:val="24"/>
        </w:rPr>
        <w:t xml:space="preserve">Риск обменного курса</w:t>
      </w:r>
      <w:r>
        <w:rPr>
          <w:rFonts w:ascii="Arial" w:cs="Arial" w:eastAsia="Arial" w:hAnsi="Arial"/>
          <w:sz w:val="24"/>
          <w:szCs w:val="24"/>
        </w:rPr>
        <w:t xml:space="preserve">состоит в том, что при повышении курса доллара США к сому, а также при повышении кросс-курса других валют (евро, японская йена, специальные права заимствования (СДР) и т.д.) к доллару США возникнет дополнительная потребность бюджетных средств для обслуживания государственного внешнего долга. </w:t>
      </w:r>
    </w:p>
    <w:p>
      <w:pPr>
        <w:spacing w:after="120"/>
        <w:ind w:firstLine="709"/>
        <w:jc w:val="both"/>
      </w:pPr>
      <w:r>
        <w:rPr>
          <w:rFonts w:ascii="Arial" w:cs="Arial" w:eastAsia="Arial" w:hAnsi="Arial"/>
          <w:sz w:val="24"/>
          <w:szCs w:val="24"/>
        </w:rPr>
        <w:t xml:space="preserve">Прогноз сумм, необходимых для погашения и обслуживания государственного внешнего долга согласно сценариям, представлен в приложении 3. </w:t>
      </w:r>
    </w:p>
    <w:p>
      <w:pPr>
        <w:spacing w:after="120"/>
        <w:ind w:firstLine="709"/>
        <w:jc w:val="both"/>
      </w:pPr>
      <w:r>
        <w:rPr>
          <w:rFonts w:ascii="Arial" w:cs="Arial" w:eastAsia="Arial" w:hAnsi="Arial"/>
          <w:sz w:val="24"/>
          <w:szCs w:val="24"/>
        </w:rPr>
        <w:t xml:space="preserve">Риск снижения ВВП может повлиять на чрезвычайно важный показатель устойчивости государственного внешнего долга как соотношение приведенной стоимости внешнего долга и ВВП + денежные переводы.</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Риски, связанные с местными бюджетами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части возможных рисков, связанных с местными бюджетами на период 2022–2024 гг., по трансфертам в местные бюджеты дополнительные расходы республиканского бюджета могут представлять:</w:t>
      </w:r>
    </w:p>
    <w:p>
      <w:pPr>
        <w:spacing w:after="120"/>
        <w:ind w:firstLine="567"/>
        <w:jc w:val="both"/>
      </w:pPr>
      <w:r>
        <w:rPr>
          <w:rFonts w:ascii="Arial" w:cs="Arial" w:eastAsia="Arial" w:hAnsi="Arial"/>
          <w:sz w:val="24"/>
          <w:szCs w:val="24"/>
        </w:rPr>
        <w:t xml:space="preserve">- повышение заработной платы согласно постановлению Правительства Кыргызской Республики «О внесении изменений в некоторые решения Правительства Кыргызской Республики по вопросам оплаты труда работников сферы культуры, искусства и информации» от 8 апреля 2021 года № 135 в размере 251,97 млн сомов.</w:t>
      </w:r>
    </w:p>
    <w:p>
      <w:pPr>
        <w:spacing w:after="120"/>
        <w:ind w:firstLine="567"/>
        <w:jc w:val="both"/>
      </w:pPr>
      <w:r>
        <w:rPr>
          <w:rFonts w:ascii="Arial" w:cs="Arial" w:eastAsia="Arial" w:hAnsi="Arial"/>
          <w:sz w:val="24"/>
          <w:szCs w:val="24"/>
        </w:rPr>
        <w:t xml:space="preserve">- передача коммунальных услуг и расходов на содержание зданий и помещений общеобразовательных организаций и объектов культуры из местных бюджетов в республиканский бюджет с 2022 года согласно постановлению Кыргызской Республики «О проекте Закона Кыргызской Республики «О статусе Баткенской области Кыргызской Республики» от 3 мая 2021года № 178</w:t>
      </w:r>
      <w:r>
        <w:rPr>
          <w:rFonts w:ascii="Arial" w:cs="Arial" w:eastAsia="Arial" w:hAnsi="Arial"/>
          <w:sz w:val="24"/>
          <w:szCs w:val="24"/>
        </w:rPr>
        <w:t xml:space="preserve">,</w:t>
      </w:r>
      <w:r>
        <w:rPr>
          <w:rFonts w:ascii="Arial" w:cs="Arial" w:eastAsia="Arial" w:hAnsi="Arial"/>
          <w:sz w:val="24"/>
          <w:szCs w:val="24"/>
        </w:rPr>
        <w:t xml:space="preserve"> в размере 226,68 млн сомов.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Возможные риски, связанные с судебными разбирательствами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Возможны риски по внутренним судебным разбирательствам, связанные с судебными спорами по следующим категориям:</w:t>
      </w:r>
    </w:p>
    <w:p>
      <w:pPr>
        <w:spacing w:after="120"/>
        <w:ind w:firstLine="709"/>
        <w:jc w:val="both"/>
      </w:pPr>
      <w:r>
        <w:rPr>
          <w:rFonts w:ascii="Arial" w:cs="Arial" w:eastAsia="Arial" w:hAnsi="Arial"/>
          <w:sz w:val="24"/>
          <w:szCs w:val="24"/>
        </w:rPr>
        <w:t xml:space="preserve">- экономические споры;</w:t>
      </w:r>
    </w:p>
    <w:p>
      <w:pPr>
        <w:spacing w:after="120"/>
        <w:ind w:firstLine="709"/>
        <w:jc w:val="both"/>
      </w:pPr>
      <w:r>
        <w:rPr>
          <w:rFonts w:ascii="Arial" w:cs="Arial" w:eastAsia="Arial" w:hAnsi="Arial"/>
          <w:sz w:val="24"/>
          <w:szCs w:val="24"/>
        </w:rPr>
        <w:t xml:space="preserve">- иски по возмещению материального ущерба и компенсации морального вреда;</w:t>
      </w:r>
    </w:p>
    <w:p>
      <w:pPr>
        <w:spacing w:after="120"/>
        <w:ind w:firstLine="709"/>
        <w:jc w:val="both"/>
      </w:pPr>
      <w:r>
        <w:rPr>
          <w:rFonts w:ascii="Arial" w:cs="Arial" w:eastAsia="Arial" w:hAnsi="Arial"/>
          <w:sz w:val="24"/>
          <w:szCs w:val="24"/>
        </w:rPr>
        <w:t xml:space="preserve">- иски пенсионеров - военнослужащих об индексации пенсии;</w:t>
      </w:r>
    </w:p>
    <w:p>
      <w:pPr>
        <w:spacing w:after="120"/>
        <w:ind w:firstLine="709"/>
        <w:jc w:val="both"/>
      </w:pPr>
      <w:r>
        <w:rPr>
          <w:rFonts w:ascii="Arial" w:cs="Arial" w:eastAsia="Arial" w:hAnsi="Arial"/>
          <w:sz w:val="24"/>
          <w:szCs w:val="24"/>
        </w:rPr>
        <w:t xml:space="preserve">- разное (восстановление на работе и взыскание заработной платы за время вынужденного прогула, признание актов Правительства Кыргызской Республики недействительными, противоречащими законодательству Кыргызской Республики);</w:t>
      </w:r>
    </w:p>
    <w:p>
      <w:pPr>
        <w:spacing w:after="120"/>
        <w:ind w:firstLine="709"/>
        <w:jc w:val="both"/>
      </w:pPr>
      <w:r>
        <w:rPr>
          <w:rFonts w:ascii="Arial" w:cs="Arial" w:eastAsia="Arial" w:hAnsi="Arial"/>
          <w:sz w:val="24"/>
          <w:szCs w:val="24"/>
        </w:rPr>
        <w:t xml:space="preserve">- уголовные дела, по которым Министерство экономики и финансов Кыргызской Республики выступает в качестве потерпевшей стороны, в случае нанесения ущерба республиканскому бюджету.</w:t>
      </w:r>
    </w:p>
    <w:p>
      <w:pPr>
        <w:spacing w:after="120"/>
        <w:ind w:firstLine="709"/>
        <w:jc w:val="both"/>
      </w:pPr>
      <w:r>
        <w:rPr>
          <w:rFonts w:ascii="Arial" w:cs="Arial" w:eastAsia="Arial" w:hAnsi="Arial"/>
          <w:sz w:val="24"/>
          <w:szCs w:val="24"/>
        </w:rPr>
        <w:t xml:space="preserve">Кроме того, возможны риски, связанные с судебными спорами в международных арбитражных судах и др.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 Приоритеты расходов на среднесрочный период</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4.1. Анализ расходов государственного бюджета на 2020–2021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Влияние пандемии COVID-19 на расходную часть государственного бюджета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Как отмечалось ранее, в 2020 году в связи с пандемией коронавирусной инфекции COVID-19 в экономике произошел значительный спад, что отрицательно повлияло на показатели республиканского бюджета. Доходная часть значительно снизилась, а также появились новые расходные обязательства, связанные с мероприятиями по борьбе с коронавирусной инфекцией COVID-19.</w:t>
      </w:r>
    </w:p>
    <w:p>
      <w:pPr>
        <w:spacing w:after="120"/>
        <w:ind w:firstLine="709"/>
        <w:jc w:val="both"/>
      </w:pPr>
      <w:r>
        <w:rPr>
          <w:rFonts w:ascii="Arial" w:cs="Arial" w:eastAsia="Arial" w:hAnsi="Arial"/>
          <w:sz w:val="24"/>
          <w:szCs w:val="24"/>
        </w:rPr>
        <w:t xml:space="preserve">Вследствие снижения поступлений по доходам, Правительство Кыргызской Республики было вынуждено пересмотреть политику расходования финансовых средств. В целях мобилизации ресурсов были оптимизированы неприоритетные статьи расходов и перераспределены на мероприятия, направленные на борьбу с коронавирусной инфекцией COVID-19.</w:t>
      </w:r>
    </w:p>
    <w:p>
      <w:pPr>
        <w:spacing w:after="120"/>
        <w:ind w:firstLine="709"/>
        <w:jc w:val="both"/>
      </w:pPr>
      <w:r>
        <w:rPr>
          <w:rFonts w:ascii="Arial" w:cs="Arial" w:eastAsia="Arial" w:hAnsi="Arial"/>
          <w:sz w:val="24"/>
          <w:szCs w:val="24"/>
        </w:rPr>
        <w:t xml:space="preserve">Для финансирования мероприятий по борьбе с коронавирусной инфекцией COVID-19 и </w:t>
      </w:r>
      <w:r>
        <w:rPr>
          <w:rFonts w:ascii="Arial" w:cs="Arial" w:eastAsia="Arial" w:hAnsi="Arial"/>
          <w:sz w:val="24"/>
          <w:szCs w:val="24"/>
        </w:rPr>
        <w:t xml:space="preserve">ее</w:t>
      </w:r>
      <w:r>
        <w:rPr>
          <w:rFonts w:ascii="Arial" w:cs="Arial" w:eastAsia="Arial" w:hAnsi="Arial"/>
          <w:sz w:val="24"/>
          <w:szCs w:val="24"/>
        </w:rPr>
        <w:t xml:space="preserve"> последствиями в условиях экономического спада, в 2020–2021 годах в республику были привлечены финансовые средства международных партнеров по развитию на сумму 29 812,6 млн сомов (374,9 млн долл. США)</w:t>
      </w:r>
      <w:r>
        <w:rPr>
          <w:rFonts w:ascii="Arial" w:cs="Arial" w:eastAsia="Arial" w:hAnsi="Arial"/>
          <w:sz w:val="24"/>
          <w:szCs w:val="24"/>
        </w:rPr>
        <w:t xml:space="preserve">из заявленных донорами средств 644,4 млн долл. США (т.е. на последующие года ожидается от доноров сумма 269,5 млн долл. США). Подробная информация представлена в приложении 4.</w:t>
      </w:r>
    </w:p>
    <w:p>
      <w:pPr>
        <w:spacing w:after="120"/>
        <w:ind w:firstLine="709"/>
        <w:jc w:val="both"/>
      </w:pPr>
      <w:r>
        <w:rPr>
          <w:rFonts w:ascii="Arial" w:cs="Arial" w:eastAsia="Arial" w:hAnsi="Arial"/>
          <w:sz w:val="24"/>
          <w:szCs w:val="24"/>
        </w:rPr>
        <w:t xml:space="preserve">Пандемия коронавирусной инфекции COVID-19</w:t>
      </w:r>
      <w:r>
        <w:rPr>
          <w:rFonts w:ascii="Arial" w:cs="Arial" w:eastAsia="Arial" w:hAnsi="Arial"/>
          <w:sz w:val="24"/>
          <w:szCs w:val="24"/>
        </w:rPr>
        <w:t xml:space="preserve"> и </w:t>
      </w:r>
      <w:r>
        <w:rPr>
          <w:rFonts w:ascii="Arial" w:cs="Arial" w:eastAsia="Arial" w:hAnsi="Arial"/>
          <w:sz w:val="24"/>
          <w:szCs w:val="24"/>
        </w:rPr>
        <w:t xml:space="preserve">введение вследствие этого соответствующих ограничений, негативно повлияли на уровень доходов населения. В этой связи в целях оказания государственной поддержки заемщикам, получившим кредиты в финансово-кредитных организациях Кыргызской Республики и оказавшимся в сложном экономическом положении в связи с эпидемиологической и социальной ситуацией, в республиканском бюджете на 2021 год были предусмотрены средства в сумме 1 253,2 млн сомов. В рамках данной поддержки, заемщики, получившие до 1 октября 2020 года первоначальную основную сумму кредита не более 100 000 сомов, были освобождены от уплаты начисляемых процентов/наценок в декабре 2020 года и январе–феврале 2021 года. Данные проценты/наценки были компенсированы финансово-кредитным организациям. </w:t>
      </w:r>
    </w:p>
    <w:p>
      <w:pPr>
        <w:spacing w:after="120"/>
        <w:ind w:firstLine="709"/>
        <w:jc w:val="both"/>
      </w:pPr>
      <w:r>
        <w:rPr>
          <w:rFonts w:ascii="Arial" w:cs="Arial" w:eastAsia="Arial" w:hAnsi="Arial"/>
          <w:sz w:val="24"/>
          <w:szCs w:val="24"/>
        </w:rPr>
        <w:t xml:space="preserve">Кроме того, в рамках мероприятий по предупреждению и борьбе с коронавирусной инфекцией COVID-19 из республиканского бюджета на 2021 год были дополнительно предусмотрены средства в сумме 2 249,8 млн сомов, в том числе на компенсационные выплаты медицинским работникам организаций здравоохранения, работающим </w:t>
      </w:r>
      <w:r>
        <w:rPr>
          <w:rFonts w:ascii="Arial" w:cs="Arial" w:eastAsia="Arial" w:hAnsi="Arial"/>
          <w:sz w:val="24"/>
          <w:szCs w:val="24"/>
        </w:rPr>
        <w:t xml:space="preserve">на</w:t>
      </w:r>
      <w:r>
        <w:rPr>
          <w:rFonts w:ascii="Arial" w:cs="Arial" w:eastAsia="Arial" w:hAnsi="Arial"/>
          <w:sz w:val="24"/>
          <w:szCs w:val="24"/>
        </w:rPr>
        <w:t xml:space="preserve"> очаговых территориях (красная зона), и закупку вакцин против коронавирусной инфекции COVID-19.</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Исполнение государственного бюджета в 2020 году и утвержденные показатели на 2021 год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2020 году расходы государственного бюджета Кыргызской Республики составили 171 785,1 млн сомов, с увеличением на 2,4 % относительно 2019 года. По отношению к ВВП расходы государственного бюджета Кыргызской Республики составили 28,7 %. В сравнении с утвержденными показателями 2020 года, фактические значения снизились на 19 892,7 млн сомов. Снижение расходов было обусловлено пандемией COVID-19 и коснулось как текущих расходов, так и капитальных расходов.</w:t>
      </w:r>
    </w:p>
    <w:p>
      <w:pPr>
        <w:spacing w:after="120"/>
        <w:ind w:firstLine="709"/>
        <w:jc w:val="both"/>
      </w:pPr>
      <w:r>
        <w:rPr>
          <w:rFonts w:ascii="Arial" w:cs="Arial" w:eastAsia="Arial" w:hAnsi="Arial"/>
          <w:sz w:val="24"/>
          <w:szCs w:val="24"/>
        </w:rPr>
        <w:t xml:space="preserve">Расходы государственного бюджета Кыргызской Республики на 2021 год в соответствии с Законом Кыргызской Республики «О республиканском бюджете Кыргызской Республики на 2021 год и прогнозе на 2022–2023 годы» от 31 декабря 2020 года № 15 прогнозируются в сумме 201 723,6 млн сомов с ростом 117,4 % относительно фактического исполнения в 2020 году. По отношению к ВВП расходы государственного бюджета Кыргызской Республики составляют 31,8 %.</w:t>
      </w:r>
    </w:p>
    <w:p>
      <w:pPr>
        <w:spacing w:after="200"/>
        <w:jc w:val="right"/>
      </w:pPr>
      <w:r>
        <w:rPr>
          <w:rFonts w:ascii="Arial" w:cs="Arial" w:eastAsia="Arial" w:hAnsi="Arial"/>
          <w:b/>
          <w:bCs/>
          <w:sz w:val="24"/>
          <w:szCs w:val="24"/>
        </w:rPr>
        <w:t xml:space="preserve">Таблица 5</w:t>
      </w:r>
    </w:p>
    <w:p>
      <w:pPr>
        <w:spacing w:after="120"/>
        <w:jc w:val="center"/>
      </w:pPr>
      <w:r>
        <w:rPr>
          <w:rFonts w:ascii="Arial" w:cs="Arial" w:eastAsia="Arial" w:hAnsi="Arial"/>
          <w:b/>
          <w:bCs/>
          <w:sz w:val="24"/>
          <w:szCs w:val="24"/>
        </w:rPr>
        <w:t xml:space="preserve">Расходы государственного бюджета на 2020</w:t>
      </w:r>
      <w:r>
        <w:rPr>
          <w:rFonts w:ascii="Arial" w:cs="Arial" w:eastAsia="Arial" w:hAnsi="Arial"/>
          <w:sz w:val="24"/>
          <w:szCs w:val="24"/>
        </w:rPr>
        <w:t xml:space="preserve">–</w:t>
      </w:r>
      <w:r>
        <w:rPr>
          <w:rFonts w:ascii="Arial" w:cs="Arial" w:eastAsia="Arial" w:hAnsi="Arial"/>
          <w:b/>
          <w:bCs/>
          <w:sz w:val="24"/>
          <w:szCs w:val="24"/>
        </w:rPr>
        <w:t xml:space="preserve">2021 годы</w:t>
      </w:r>
    </w:p>
    <w:p>
      <w:pPr>
        <w:spacing w:after="360" w:before="200"/>
        <w:jc w:val="center"/>
      </w:pPr>
      <w:r>
        <w:rPr>
          <w:rFonts w:ascii="Arial" w:cs="Arial" w:eastAsia="Arial" w:hAnsi="Arial"/>
          <w:b/>
          <w:bCs/>
          <w:sz w:val="32"/>
          <w:szCs w:val="3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4"/>
        <w:gridCol w:w="1871"/>
        <w:gridCol w:w="1984"/>
        <w:gridCol w:w="1629"/>
      </w:tblGrid>
      <w:tr>
        <w:tc>
          <w:tcPr>
            <w:tcW w:type="dxa" w:w="4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p>
            <w:pPr>
              <w:jc w:val="center"/>
            </w:pPr>
            <w:r>
              <w:rPr>
                <w:rFonts w:ascii="Arial" w:cs="Arial" w:eastAsia="Arial" w:hAnsi="Arial"/>
                <w:sz w:val="24"/>
                <w:szCs w:val="24"/>
              </w:rPr>
              <w:t xml:space="preserve">утв.</w:t>
            </w:r>
          </w:p>
        </w:tc>
        <w:tc>
          <w:tcPr>
            <w:tcW w:type="dxa" w:w="1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p>
            <w:pPr>
              <w:jc w:val="center"/>
            </w:pPr>
            <w:r>
              <w:rPr>
                <w:rFonts w:ascii="Arial" w:cs="Arial" w:eastAsia="Arial" w:hAnsi="Arial"/>
                <w:sz w:val="24"/>
                <w:szCs w:val="24"/>
              </w:rPr>
              <w:t xml:space="preserve">факт</w:t>
            </w:r>
          </w:p>
        </w:tc>
        <w:tc>
          <w:tcPr>
            <w:tcW w:type="dxa" w:w="16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Расходы государственного бюджета</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191 677,8</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171 785,1</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201 723,6</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Текущие расходы</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157 979,8</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148 645,7</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160 876,2</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Капитальные расходы</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33 698,0</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23 139,4</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40 847,4</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Дефицит</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7 953,5</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19 734,0</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8 154,0</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Согласно таблице 5, в структуре расходов государственного бюджета в 2020 году преобладают текущие расходы, доля которых в общих расходах составляет 86,5 %. Т.е. значительная часть расходов была направлена на финансирование текущих нужд. При этом, в государственном бюджете на 2021 год доля текущих расходов снизилась до 79,8 %, что связано с ростом капитальных расходов.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Государственный бюджет на 2020</w:t>
      </w:r>
      <w:r>
        <w:rPr>
          <w:rFonts w:ascii="Arial" w:cs="Arial" w:eastAsia="Arial" w:hAnsi="Arial"/>
          <w:sz w:val="24"/>
          <w:szCs w:val="24"/>
        </w:rPr>
        <w:t xml:space="preserve">–</w:t>
      </w:r>
      <w:r>
        <w:rPr>
          <w:rFonts w:ascii="Arial" w:cs="Arial" w:eastAsia="Arial" w:hAnsi="Arial"/>
          <w:b/>
          <w:bCs/>
          <w:sz w:val="24"/>
          <w:szCs w:val="24"/>
        </w:rPr>
        <w:t xml:space="preserve">2021 годы по секторам</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2020–2021 годах наибольшую долю (более 50 %) расходов государственного бюджета занимают расходы на социальный сектор (здравоохранение, социальная защита, культура и др.) (таблица 6). Так, в 2020 году на социальный сектор было направлено 99 478,7 млн сомов, в утвержденном бюджете на 2021 год предусмотрено 107 216,0 млн сомов, однако их доля в 2021 году снизилась на 4,8 %. Более 30 % расходов на социальный сектор составляют трансферты ФОМС и СФ. </w:t>
      </w:r>
    </w:p>
    <w:p>
      <w:pPr>
        <w:spacing w:after="120"/>
        <w:ind w:firstLine="708"/>
        <w:jc w:val="both"/>
      </w:pPr>
      <w:r>
        <w:rPr>
          <w:rFonts w:ascii="Arial" w:cs="Arial" w:eastAsia="Arial" w:hAnsi="Arial"/>
          <w:sz w:val="24"/>
          <w:szCs w:val="24"/>
        </w:rPr>
        <w:t xml:space="preserve">Расходы на реальный сектор (сельское хозяйство, транспорт, топливно-энергетический комплекс и др.) в 2021 году предусмотрены с ростом на 18 491,7 млн сомов. Рост расходов на реальный сектор в основном обусловлен ростом капитальных расходов в утвержденном бюджете на 2021 год. Более 50 % расходов на реальный сектор составляют капитальные расходы. Капитальные расходы в реальном секторе направляются на такие направления</w:t>
      </w:r>
      <w:r>
        <w:rPr>
          <w:rFonts w:ascii="Arial" w:cs="Arial" w:eastAsia="Arial" w:hAnsi="Arial"/>
          <w:sz w:val="24"/>
          <w:szCs w:val="24"/>
        </w:rPr>
        <w:t xml:space="preserve">,</w:t>
      </w:r>
      <w:r>
        <w:rPr>
          <w:rFonts w:ascii="Arial" w:cs="Arial" w:eastAsia="Arial" w:hAnsi="Arial"/>
          <w:sz w:val="24"/>
          <w:szCs w:val="24"/>
        </w:rPr>
        <w:t xml:space="preserve"> как транспорт, сельское и водное хозяйство, ирригация и др.</w:t>
      </w:r>
    </w:p>
    <w:p>
      <w:pPr>
        <w:spacing w:after="120"/>
        <w:ind w:firstLine="708"/>
        <w:jc w:val="both"/>
      </w:pPr>
      <w:r>
        <w:rPr>
          <w:rFonts w:ascii="Arial" w:cs="Arial" w:eastAsia="Arial" w:hAnsi="Arial"/>
          <w:sz w:val="24"/>
          <w:szCs w:val="24"/>
        </w:rPr>
        <w:t xml:space="preserve">В целом государственный бюджет является социально-ориентированным.</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6 </w:t>
      </w:r>
    </w:p>
    <w:p>
      <w:pPr>
        <w:spacing w:after="240" w:before="200"/>
        <w:jc w:val="center"/>
      </w:pPr>
      <w:r>
        <w:rPr>
          <w:rFonts w:ascii="Arial" w:cs="Arial" w:eastAsia="Arial" w:hAnsi="Arial"/>
          <w:b/>
          <w:bCs/>
          <w:sz w:val="32"/>
          <w:szCs w:val="32"/>
        </w:rPr>
        <w:t xml:space="preserve">Расходы государственного бюджета по секторам </w:t>
      </w:r>
    </w:p>
    <w:p>
      <w:pPr>
        <w:spacing w:after="360"/>
        <w:jc w:val="center"/>
      </w:pPr>
      <w:r>
        <w:rPr>
          <w:rFonts w:ascii="Arial" w:cs="Arial" w:eastAsia="Arial" w:hAnsi="Arial"/>
          <w:b/>
          <w:bCs/>
          <w:sz w:val="24"/>
          <w:szCs w:val="24"/>
        </w:rPr>
        <w:t xml:space="preserve">на 2020</w:t>
      </w:r>
      <w:r>
        <w:rPr>
          <w:rFonts w:ascii="Arial" w:cs="Arial" w:eastAsia="Arial" w:hAnsi="Arial"/>
          <w:sz w:val="24"/>
          <w:szCs w:val="24"/>
        </w:rPr>
        <w:t xml:space="preserve">–</w:t>
      </w:r>
      <w:r>
        <w:rPr>
          <w:rFonts w:ascii="Arial" w:cs="Arial" w:eastAsia="Arial" w:hAnsi="Arial"/>
          <w:b/>
          <w:bCs/>
          <w:sz w:val="24"/>
          <w:szCs w:val="24"/>
        </w:rPr>
        <w:t xml:space="preserve">2021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73"/>
        <w:gridCol w:w="1415"/>
        <w:gridCol w:w="1691"/>
      </w:tblGrid>
      <w:tr>
        <w:tc>
          <w:tcPr>
            <w:tcW w:type="dxa" w:w="70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Общие расходы</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171 801,3</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201 723,6</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Госуслуги общего назначения, оборона и правопорядок</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44 205,5</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47 844,8</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Социальный сектор, включая трансферты ФОМС и СФ</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99 478,7</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107 216,0</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Реальный сектор</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28 171,1</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46 662,8</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Дефицит государственного бюджета на 2020 год составил 19 734,0 млн сомов или 3,3 % ВВП. Рост дефицита бюджета связан с пандемией COVID-19, как отмечалось ранее, доходная часть государственного бюджета на 2020 год была значительно снижена. Показатели дефицита бюджета на 2021 год утверждены в сумме 8 154,0 млн сомов или 1,3 %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4.2. </w:t>
      </w:r>
      <w:r>
        <w:rPr>
          <w:rFonts w:ascii="Arial" w:cs="Arial" w:eastAsia="Arial" w:hAnsi="Arial"/>
          <w:b/>
          <w:bCs/>
          <w:sz w:val="24"/>
          <w:szCs w:val="24"/>
        </w:rPr>
        <w:t xml:space="preserve">Расходы государственного бюджета на среднесрочный период</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Приоритеты расходов государственного бюджета на 2022</w:t>
      </w:r>
      <w:r>
        <w:rPr>
          <w:rFonts w:ascii="Arial" w:cs="Arial" w:eastAsia="Arial" w:hAnsi="Arial"/>
          <w:sz w:val="24"/>
          <w:szCs w:val="24"/>
        </w:rPr>
        <w:t xml:space="preserve">–</w:t>
      </w:r>
      <w:r>
        <w:rPr>
          <w:rFonts w:ascii="Arial" w:cs="Arial" w:eastAsia="Arial" w:hAnsi="Arial"/>
          <w:b/>
          <w:bCs/>
          <w:sz w:val="24"/>
          <w:szCs w:val="24"/>
        </w:rPr>
        <w:t xml:space="preserve">2024 гг.</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Расходы государственного бюджета на 2022–2024 годы сформированы на основе прогноза по ресурсам (доходам), рассчитанного на основе проекта Среднесрочного прогноза социально-экономического развития Кыргызской Республики на 2022–2024 годы.</w:t>
      </w:r>
    </w:p>
    <w:p>
      <w:pPr>
        <w:spacing w:after="120"/>
        <w:ind w:firstLine="720"/>
        <w:jc w:val="both"/>
      </w:pPr>
      <w:r>
        <w:rPr>
          <w:rFonts w:ascii="Arial" w:cs="Arial" w:eastAsia="Arial" w:hAnsi="Arial"/>
          <w:sz w:val="24"/>
          <w:szCs w:val="24"/>
        </w:rPr>
        <w:t xml:space="preserve">Расходная часть государственного бюджета на 2022–2024 годы предусматривает финансирование следующих приоритетных направлений расходования бюджетных средств:</w:t>
      </w:r>
    </w:p>
    <w:p>
      <w:pPr>
        <w:spacing w:after="120"/>
        <w:ind w:firstLine="720"/>
        <w:jc w:val="both"/>
      </w:pPr>
      <w:r>
        <w:rPr>
          <w:rFonts w:ascii="Arial" w:cs="Arial" w:eastAsia="Arial" w:hAnsi="Arial"/>
          <w:sz w:val="24"/>
          <w:szCs w:val="24"/>
        </w:rPr>
        <w:t xml:space="preserve">- выполнение социальных обязательства государства;</w:t>
      </w:r>
    </w:p>
    <w:p>
      <w:pPr>
        <w:spacing w:after="120"/>
        <w:ind w:firstLine="720"/>
        <w:jc w:val="both"/>
      </w:pPr>
      <w:r>
        <w:rPr>
          <w:rFonts w:ascii="Arial" w:cs="Arial" w:eastAsia="Arial" w:hAnsi="Arial"/>
          <w:sz w:val="24"/>
          <w:szCs w:val="24"/>
        </w:rPr>
        <w:t xml:space="preserve">- финансирование мер по борьбе с коронавирусной инфекцией COVID-19 и устранению ее последствий;</w:t>
      </w:r>
    </w:p>
    <w:p>
      <w:pPr>
        <w:spacing w:after="120"/>
        <w:ind w:firstLine="720"/>
        <w:jc w:val="both"/>
      </w:pPr>
      <w:r>
        <w:rPr>
          <w:rFonts w:ascii="Arial" w:cs="Arial" w:eastAsia="Arial" w:hAnsi="Arial"/>
          <w:sz w:val="24"/>
          <w:szCs w:val="24"/>
        </w:rPr>
        <w:t xml:space="preserve">- строительство и ввод в эксплуатацию социальных объектов;</w:t>
      </w:r>
    </w:p>
    <w:p>
      <w:pPr>
        <w:spacing w:after="120"/>
        <w:ind w:firstLine="720"/>
        <w:jc w:val="both"/>
      </w:pPr>
      <w:r>
        <w:rPr>
          <w:rFonts w:ascii="Arial" w:cs="Arial" w:eastAsia="Arial" w:hAnsi="Arial"/>
          <w:sz w:val="24"/>
          <w:szCs w:val="24"/>
        </w:rPr>
        <w:t xml:space="preserve">- развитие транспортной системы и энергетической инфраструктуры;</w:t>
      </w:r>
    </w:p>
    <w:p>
      <w:pPr>
        <w:spacing w:after="120"/>
        <w:ind w:firstLine="720"/>
        <w:jc w:val="both"/>
      </w:pPr>
      <w:r>
        <w:rPr>
          <w:rFonts w:ascii="Arial" w:cs="Arial" w:eastAsia="Arial" w:hAnsi="Arial"/>
          <w:sz w:val="24"/>
          <w:szCs w:val="24"/>
        </w:rPr>
        <w:t xml:space="preserve">- развитие сельского хозяйства и ирригационной сети;</w:t>
      </w:r>
    </w:p>
    <w:p>
      <w:pPr>
        <w:spacing w:after="120"/>
        <w:ind w:firstLine="720"/>
        <w:jc w:val="both"/>
      </w:pPr>
      <w:r>
        <w:rPr>
          <w:rFonts w:ascii="Arial" w:cs="Arial" w:eastAsia="Arial" w:hAnsi="Arial"/>
          <w:sz w:val="24"/>
          <w:szCs w:val="24"/>
        </w:rPr>
        <w:t xml:space="preserve">- финансирование мер, направленных на развитие экономики;</w:t>
      </w:r>
    </w:p>
    <w:p>
      <w:pPr>
        <w:spacing w:after="120"/>
        <w:ind w:firstLine="720"/>
        <w:jc w:val="both"/>
      </w:pPr>
      <w:r>
        <w:rPr>
          <w:rFonts w:ascii="Arial" w:cs="Arial" w:eastAsia="Arial" w:hAnsi="Arial"/>
          <w:sz w:val="24"/>
          <w:szCs w:val="24"/>
        </w:rPr>
        <w:t xml:space="preserve">- фискализация налоговых процедур;</w:t>
      </w:r>
    </w:p>
    <w:p>
      <w:pPr>
        <w:spacing w:after="120"/>
        <w:ind w:firstLine="720"/>
        <w:jc w:val="both"/>
      </w:pPr>
      <w:r>
        <w:rPr>
          <w:rFonts w:ascii="Arial" w:cs="Arial" w:eastAsia="Arial" w:hAnsi="Arial"/>
          <w:sz w:val="24"/>
          <w:szCs w:val="24"/>
        </w:rPr>
        <w:t xml:space="preserve">- финансирование инвестиционных проектов в рамках государственных инвестиций.</w:t>
      </w:r>
    </w:p>
    <w:p>
      <w:pPr>
        <w:spacing w:after="120"/>
        <w:ind w:firstLine="720"/>
        <w:jc w:val="both"/>
      </w:pPr>
      <w:r>
        <w:rPr>
          <w:rFonts w:ascii="Arial" w:cs="Arial" w:eastAsia="Arial" w:hAnsi="Arial"/>
          <w:sz w:val="24"/>
          <w:szCs w:val="24"/>
        </w:rPr>
        <w:t xml:space="preserve">Кроме того, расходная часть сформирована с учетом повышения в 2021 году заработной платы медицинским работникам, работникам учреждений культуры и силового блока. </w:t>
      </w:r>
    </w:p>
    <w:p>
      <w:pPr>
        <w:spacing w:after="120"/>
        <w:ind w:firstLine="720"/>
        <w:jc w:val="both"/>
      </w:pPr>
      <w:r>
        <w:rPr>
          <w:rFonts w:ascii="Arial" w:cs="Arial" w:eastAsia="Arial" w:hAnsi="Arial"/>
          <w:b/>
          <w:bCs/>
          <w:sz w:val="24"/>
          <w:szCs w:val="24"/>
        </w:rPr>
        <w:t xml:space="preserve">Расходы государственного бюджета на среднесрочный период</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Расходная часть государственного бюджета на среднесрочный период выглядит следующим образом:</w:t>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7</w:t>
      </w:r>
    </w:p>
    <w:p>
      <w:pPr>
        <w:spacing w:after="120"/>
        <w:jc w:val="center"/>
      </w:pPr>
      <w:r>
        <w:rPr>
          <w:rFonts w:ascii="Arial" w:cs="Arial" w:eastAsia="Arial" w:hAnsi="Arial"/>
          <w:b/>
          <w:bCs/>
          <w:sz w:val="24"/>
          <w:szCs w:val="24"/>
        </w:rPr>
        <w:t xml:space="preserve">Расходы государственного бюджета на 2021</w:t>
      </w:r>
      <w:r>
        <w:rPr>
          <w:rFonts w:ascii="Arial" w:cs="Arial" w:eastAsia="Arial" w:hAnsi="Arial"/>
          <w:sz w:val="24"/>
          <w:szCs w:val="24"/>
        </w:rPr>
        <w:t xml:space="preserve">–</w:t>
      </w:r>
      <w:r>
        <w:rPr>
          <w:rFonts w:ascii="Arial" w:cs="Arial" w:eastAsia="Arial" w:hAnsi="Arial"/>
          <w:b/>
          <w:bCs/>
          <w:sz w:val="24"/>
          <w:szCs w:val="24"/>
        </w:rPr>
        <w:t xml:space="preserve">2024 годы </w:t>
      </w:r>
    </w:p>
    <w:p>
      <w:pPr>
        <w:spacing w:after="360" w:before="200"/>
        <w:jc w:val="center"/>
      </w:pPr>
      <w:r>
        <w:rPr>
          <w:rFonts w:ascii="Arial" w:cs="Arial" w:eastAsia="Arial" w:hAnsi="Arial"/>
          <w:b/>
          <w:bCs/>
          <w:sz w:val="32"/>
          <w:szCs w:val="3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0"/>
        <w:gridCol w:w="1389"/>
        <w:gridCol w:w="1186"/>
        <w:gridCol w:w="890"/>
        <w:gridCol w:w="1186"/>
        <w:gridCol w:w="1030"/>
        <w:gridCol w:w="1186"/>
        <w:gridCol w:w="890"/>
      </w:tblGrid>
      <w:tr>
        <w:tc>
          <w:tcPr>
            <w:tcW w:type="dxa" w:w="242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год</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Темп роста, %</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Темп роста, %</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год</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Темп роста, %</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Общие расходы</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201 723,6</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234 785,9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245 970,5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104,8</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246 392,6</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100,2</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Текущие расходы</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160 876,2</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188 173,1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117,0</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193 466,7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199 170,1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26,4</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расходы</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40 847,4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46 612,9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52 503,8</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112,6</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47 222,5</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из внешних источников</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24 532,5</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26 133,4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33 023,1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25 235,7</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76,4</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из внутренних источников</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16 314,9</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20 479,4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125,5</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19 480,7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95,1</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21 986,8</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Дефицит/профицит</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-8 154,0</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-9 121,7</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111,9</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-7 677,0</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84,2</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8 305,2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Дефицит/профицит (</w:t>
            </w:r>
            <w:r>
              <w:rPr>
                <w:rFonts w:ascii="Arial" w:cs="Arial" w:eastAsia="Arial" w:hAnsi="Arial"/>
                <w:b/>
                <w:bCs/>
                <w:sz w:val="24"/>
                <w:szCs w:val="24"/>
              </w:rPr>
              <w:t xml:space="preserve">без учета официальных трансфертов и государственные инвестиции)</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-1 711,4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620,0</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-136,2</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10 736,9</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1 731,7</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24 366,2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226,9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Согласно таблице 7, темпы роста государственного бюджета на 2023–2024 годы составят 4,8 % и 0,2 % соответственно. В 2022 году расходы государственного бюджета прогнозируются в сумме 234 785,9 млн сомов, что на 16,4 % больше, чем расходы государственного бюджета на 2021 год. </w:t>
      </w:r>
    </w:p>
    <w:p>
      <w:pPr>
        <w:spacing w:after="120"/>
        <w:ind w:firstLine="709"/>
        <w:jc w:val="both"/>
      </w:pPr>
      <w:r>
        <w:rPr>
          <w:rFonts w:ascii="Arial" w:cs="Arial" w:eastAsia="Arial" w:hAnsi="Arial"/>
          <w:sz w:val="24"/>
          <w:szCs w:val="24"/>
        </w:rPr>
        <w:t xml:space="preserve">Рост расходов на 2022 год обусловлен ростом текущих расходов на 17,0 % по сравнению с расходами 2021 года. Главным образом увеличение коснулось расходов, связанных с финансированием социальных обязательств (трансферты ФОМС и СФ, повышение заработной платы и др.) и обслуживания государственного долга.</w:t>
      </w:r>
    </w:p>
    <w:p>
      <w:pPr>
        <w:spacing w:after="120"/>
        <w:ind w:firstLine="708"/>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Рисунок 3</w:t>
      </w:r>
    </w:p>
    <w:p>
      <w:pPr>
        <w:spacing w:after="240" w:before="200"/>
        <w:ind w:firstLine="708"/>
        <w:jc w:val="center"/>
      </w:pPr>
      <w:r>
        <w:rPr>
          <w:rFonts w:ascii="Arial" w:cs="Arial" w:eastAsia="Arial" w:hAnsi="Arial"/>
          <w:b/>
          <w:bCs/>
          <w:sz w:val="32"/>
          <w:szCs w:val="32"/>
        </w:rPr>
        <w:t xml:space="preserve">Капитальные расходы государственного бюджета</w:t>
      </w:r>
    </w:p>
    <w:p>
      <w:pPr>
        <w:spacing w:after="120"/>
        <w:ind w:firstLine="708"/>
        <w:jc w:val="center"/>
      </w:pPr>
      <w:r>
        <w:rPr>
          <w:rFonts w:ascii="Arial" w:cs="Arial" w:eastAsia="Arial" w:hAnsi="Arial"/>
          <w:b/>
          <w:bCs/>
          <w:sz w:val="24"/>
          <w:szCs w:val="24"/>
        </w:rPr>
        <w:t xml:space="preserve">на 2020</w:t>
      </w:r>
      <w:r>
        <w:rPr>
          <w:rFonts w:ascii="Arial" w:cs="Arial" w:eastAsia="Arial" w:hAnsi="Arial"/>
          <w:sz w:val="24"/>
          <w:szCs w:val="24"/>
        </w:rPr>
        <w:t xml:space="preserve">–</w:t>
      </w:r>
      <w:r>
        <w:rPr>
          <w:rFonts w:ascii="Arial" w:cs="Arial" w:eastAsia="Arial" w:hAnsi="Arial"/>
          <w:b/>
          <w:bCs/>
          <w:sz w:val="24"/>
          <w:szCs w:val="24"/>
        </w:rPr>
        <w:t xml:space="preserve">2024 годы (млн сомов)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2022–2023 годах капитальные расходы прогнозируются в сумме 46 612,9 и 52 503,8 млн сомов соответственно. Темп роста капитальных расходов на 2022 год составляет 14,1 %. Данный рост обусловлен ростом капитальных расходов из внешних источников на 1 600,9 млн сомов. Капитальные расходы внутренних источников на 2022 включают:</w:t>
      </w:r>
    </w:p>
    <w:p>
      <w:pPr>
        <w:spacing w:after="120"/>
        <w:ind w:firstLine="709"/>
        <w:jc w:val="both"/>
      </w:pPr>
      <w:r>
        <w:rPr>
          <w:rFonts w:ascii="Arial" w:cs="Arial" w:eastAsia="Arial" w:hAnsi="Arial"/>
          <w:sz w:val="24"/>
          <w:szCs w:val="24"/>
        </w:rPr>
        <w:t xml:space="preserve">- капитальные вложения – 3 000,0 млн сомов;</w:t>
      </w:r>
    </w:p>
    <w:p>
      <w:pPr>
        <w:spacing w:after="120"/>
        <w:ind w:firstLine="709"/>
        <w:jc w:val="both"/>
      </w:pPr>
      <w:r>
        <w:rPr>
          <w:rFonts w:ascii="Arial" w:cs="Arial" w:eastAsia="Arial" w:hAnsi="Arial"/>
          <w:sz w:val="24"/>
          <w:szCs w:val="24"/>
        </w:rPr>
        <w:t xml:space="preserve">- софинансирование государственных инвестиций – 2 081,4 млн сомов;</w:t>
      </w:r>
    </w:p>
    <w:p>
      <w:pPr>
        <w:spacing w:after="120"/>
        <w:ind w:firstLine="709"/>
        <w:jc w:val="both"/>
      </w:pPr>
      <w:r>
        <w:rPr>
          <w:rFonts w:ascii="Arial" w:cs="Arial" w:eastAsia="Arial" w:hAnsi="Arial"/>
          <w:sz w:val="24"/>
          <w:szCs w:val="24"/>
        </w:rPr>
        <w:t xml:space="preserve">- стимулирующие (долевые) гранты – 600,0 млн сомов.</w:t>
      </w:r>
    </w:p>
    <w:p>
      <w:pPr>
        <w:spacing w:after="120"/>
        <w:ind w:firstLine="709"/>
        <w:jc w:val="both"/>
      </w:pPr>
      <w:r>
        <w:rPr>
          <w:rFonts w:ascii="Arial" w:cs="Arial" w:eastAsia="Arial" w:hAnsi="Arial"/>
          <w:sz w:val="24"/>
          <w:szCs w:val="24"/>
        </w:rPr>
        <w:t xml:space="preserve">В 2023 году прогнозируется рост капитальных расходов благодаря росту капитальных расходов из внешних источников на 6 889,7 млн сомов или 26,4 % по сравнению с показателями 2022 года. В 2024 году капитальные расходы прогнозируются со снижением по сравнению с 2023 годом и составят 47 222,5 млн сомов. Данное снижение обусловлено снижением капитальных расходов из внешних источников – прогноз расходов по внешним государственным инвестициям был снижен, при этом капитальные расходы из внутренних источников прогнозируются с ростом на 2 506,1 млн сомов. </w:t>
      </w:r>
    </w:p>
    <w:p>
      <w:pPr>
        <w:spacing w:after="120"/>
        <w:ind w:firstLine="720"/>
        <w:jc w:val="both"/>
      </w:pPr>
      <w:r>
        <w:rPr>
          <w:rFonts w:ascii="Arial" w:cs="Arial" w:eastAsia="Arial" w:hAnsi="Arial"/>
          <w:sz w:val="24"/>
          <w:szCs w:val="24"/>
        </w:rPr>
        <w:t xml:space="preserve">Вместе с тем, как и в предыдущие годы, текущие расходы занимают значительную долю в расходах (порядка 80 %), что ограничивает возможности бюджета для финансирования мероприятий, направленных на обеспечение экономического роста.</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Расходы государственного бюджета по секторам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среднесрочной перспективе прогнозируется рост расходов по всем секторам. В 2022–2023 годы прогнозируется рост расходов на реальный сектор, доля которых в общих расходах составит 26,7 и 28,7 процентного пункта. Рост расходов на реальный сектор в 2023 году в значительной степени обусловлен ростом капитальных расходов из внешних источников. Доля внешних капитальных расходов в расходах на реальный сектор составляет 45,5 %. </w:t>
      </w:r>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b/>
          <w:bCs/>
          <w:sz w:val="24"/>
          <w:szCs w:val="24"/>
        </w:rPr>
        <w:t xml:space="preserve">Таблица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Расходы государственного бюджета по секторам </w:t>
      </w:r>
    </w:p>
    <w:p>
      <w:pPr>
        <w:spacing w:after="360"/>
        <w:jc w:val="center"/>
      </w:pPr>
      <w:r>
        <w:rPr>
          <w:rFonts w:ascii="Arial" w:cs="Arial" w:eastAsia="Arial" w:hAnsi="Arial"/>
          <w:b/>
          <w:bCs/>
          <w:sz w:val="24"/>
          <w:szCs w:val="24"/>
        </w:rPr>
        <w:t xml:space="preserve">на 2022</w:t>
      </w:r>
      <w:r>
        <w:rPr>
          <w:rFonts w:ascii="Arial" w:cs="Arial" w:eastAsia="Arial" w:hAnsi="Arial"/>
          <w:sz w:val="24"/>
          <w:szCs w:val="24"/>
        </w:rPr>
        <w:t xml:space="preserve">–</w:t>
      </w:r>
      <w:r>
        <w:rPr>
          <w:rFonts w:ascii="Arial" w:cs="Arial" w:eastAsia="Arial" w:hAnsi="Arial"/>
          <w:b/>
          <w:bCs/>
          <w:sz w:val="24"/>
          <w:szCs w:val="24"/>
        </w:rPr>
        <w:t xml:space="preserve">2023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8"/>
        <w:gridCol w:w="1347"/>
        <w:gridCol w:w="1331"/>
        <w:gridCol w:w="1234"/>
        <w:gridCol w:w="1234"/>
        <w:gridCol w:w="1234"/>
      </w:tblGrid>
      <w:tr>
        <w:tc>
          <w:tcPr>
            <w:tcW w:type="dxa" w:w="379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Общие расходы</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171 801,3</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201 723,6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234 785,9</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245 970,5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246 392,6</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Госуслуги общего назначения, оборона и правопорядок</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44 205,5</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47 844,8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54 470,3</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55 589,3</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57 655,9</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Социальный сектор, включая трансферты ФОМС и СФ</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99 478,7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107 216,0</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117 627,8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119 787,6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121 707,9</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Реальный сектор</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28 171,1</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46 662,8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62 687,8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70 593,5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67 018,8</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отмечалось ранее, капитальные расходы из внешних источников снизятся в 2024 году, в этой связи расходы реального сектора на 2024 год прогнозируются со снижением на 3 574,8 млн сомов по сравнению с показателями на 2023 год. Таким образом, доля расходов на данный сектор в общих расходах в 2024 году составит 27,2 %. </w:t>
      </w:r>
    </w:p>
    <w:p>
      <w:pPr>
        <w:spacing w:after="120"/>
        <w:ind w:firstLine="708"/>
        <w:jc w:val="both"/>
      </w:pPr>
      <w:r>
        <w:rPr>
          <w:rFonts w:ascii="Arial" w:cs="Arial" w:eastAsia="Arial" w:hAnsi="Arial"/>
          <w:sz w:val="24"/>
          <w:szCs w:val="24"/>
        </w:rPr>
        <w:t xml:space="preserve">Доля расходов на социальный сектор </w:t>
      </w:r>
      <w:r>
        <w:rPr>
          <w:rFonts w:ascii="Arial" w:cs="Arial" w:eastAsia="Arial" w:hAnsi="Arial"/>
          <w:sz w:val="24"/>
          <w:szCs w:val="24"/>
        </w:rPr>
        <w:t xml:space="preserve">в</w:t>
      </w:r>
      <w:r>
        <w:rPr>
          <w:rFonts w:ascii="Arial" w:cs="Arial" w:eastAsia="Arial" w:hAnsi="Arial"/>
          <w:sz w:val="24"/>
          <w:szCs w:val="24"/>
        </w:rPr>
        <w:t xml:space="preserve"> общи</w:t>
      </w:r>
      <w:r>
        <w:rPr>
          <w:rFonts w:ascii="Arial" w:cs="Arial" w:eastAsia="Arial" w:hAnsi="Arial"/>
          <w:sz w:val="24"/>
          <w:szCs w:val="24"/>
        </w:rPr>
        <w:t xml:space="preserve">х</w:t>
      </w:r>
      <w:r>
        <w:rPr>
          <w:rFonts w:ascii="Arial" w:cs="Arial" w:eastAsia="Arial" w:hAnsi="Arial"/>
          <w:sz w:val="24"/>
          <w:szCs w:val="24"/>
        </w:rPr>
        <w:t xml:space="preserve"> расхода</w:t>
      </w:r>
      <w:r>
        <w:rPr>
          <w:rFonts w:ascii="Arial" w:cs="Arial" w:eastAsia="Arial" w:hAnsi="Arial"/>
          <w:sz w:val="24"/>
          <w:szCs w:val="24"/>
        </w:rPr>
        <w:t xml:space="preserve">х</w:t>
      </w:r>
      <w:r>
        <w:rPr>
          <w:rFonts w:ascii="Arial" w:cs="Arial" w:eastAsia="Arial" w:hAnsi="Arial"/>
          <w:sz w:val="24"/>
          <w:szCs w:val="24"/>
        </w:rPr>
        <w:t xml:space="preserve"> снизится до 48,7 % в 2023 году и увеличится до 49,4 % в 2024 году. В номинальном выражении расходы на социальный сектор значительно увеличатся к 2024 году. Более 35 % расходов на данный сектор составляют трансферты ФОМС и СФ.</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Дефицит/профицит государственного бюджета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2022 году прогнозируется дефицит государственного бюджета в сумме 9 121,7 млн сомов, что составит умеренные 1,3 % ВВП. При этом рост дефицита бюджета по сравнению с утвержденными показателями на 2021 год связан с ростом капитальных расходов из внешних источников, т.е. рост дефицит бюджета обусловлен ростом финансирования инвестиционных проектов, направленных на развитие экономики страны. В 2023 году дефицит государственного бюджета составит 7 677,0 млн сомов или 1,0 % ВВП. </w:t>
      </w:r>
    </w:p>
    <w:p>
      <w:pPr>
        <w:spacing w:after="120"/>
        <w:ind w:firstLine="720"/>
        <w:jc w:val="both"/>
      </w:pPr>
      <w:r>
        <w:rPr>
          <w:rFonts w:ascii="Arial" w:cs="Arial" w:eastAsia="Arial" w:hAnsi="Arial"/>
          <w:sz w:val="24"/>
          <w:szCs w:val="24"/>
        </w:rPr>
        <w:t xml:space="preserve">В 2024 году прогнозируется профицит государственного бюджета в сумме 8 305,2 млн сомов или 1,0 % ВВП. Данный значительный рост связан с ростом прогноза доходов государственного бюджета. </w:t>
      </w:r>
    </w:p>
    <w:p>
      <w:pPr>
        <w:spacing w:after="120"/>
        <w:ind w:firstLine="720"/>
        <w:jc w:val="both"/>
      </w:pPr>
      <w:r>
        <w:rPr>
          <w:rFonts w:ascii="Arial" w:cs="Arial" w:eastAsia="Arial" w:hAnsi="Arial"/>
          <w:sz w:val="24"/>
          <w:szCs w:val="24"/>
        </w:rPr>
        <w:t xml:space="preserve">При этом, как отмечалось ранее, без учета официальных трансфертов и средств государственных инвестиций, на 2022–2024 годы прогнозируется профицит государственного бюджета с ежегодным ростом. Это свидетельствует о положительных тенденциях в государственном бюджете республики. Доходная часть государственного бюджета за счет собственных налоговых и неналоговых доходов в состоянии полностью покрыть текущие расходы и капитальные расходы из внутренних источников. </w:t>
      </w:r>
    </w:p>
    <w:p>
      <w:pPr>
        <w:spacing w:after="120"/>
        <w:ind w:firstLine="720"/>
        <w:jc w:val="both"/>
      </w:pPr>
      <w:r>
        <w:rPr>
          <w:rFonts w:ascii="Arial" w:cs="Arial" w:eastAsia="Arial" w:hAnsi="Arial"/>
          <w:sz w:val="24"/>
          <w:szCs w:val="24"/>
        </w:rPr>
        <w:t xml:space="preserve">Подводя итог, наблюдается положительная тенденция в среднесрочной перспективе. Государственные доходы прогнозируются с ежегодным ростом, растут расходы на финансирование мероприятий, направленных на экономическое развитие. При этом в 2024 году прогнозируется профицит государственного бюджета. Вместе с тем, государственный бюджет будет продолжать выполнять свои социальные функции.</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4.3. </w:t>
      </w:r>
      <w:r>
        <w:rPr>
          <w:rFonts w:ascii="Arial" w:cs="Arial" w:eastAsia="Arial" w:hAnsi="Arial"/>
          <w:b/>
          <w:bCs/>
          <w:sz w:val="24"/>
          <w:szCs w:val="24"/>
        </w:rPr>
        <w:t xml:space="preserve">Реформирование заработной платы бюджетных учреждений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Анализ фонда заработной платы бюджетных учреждений и определение приоритетов в реформе оплаты труда работников бюджетной сферы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 последние годы Правительство Кыргызской Республики провело ряд реформ в сфере заработной платы работников бюджетных учреждений: </w:t>
      </w:r>
    </w:p>
    <w:p>
      <w:pPr>
        <w:spacing w:after="120"/>
        <w:ind w:firstLine="709"/>
        <w:jc w:val="both"/>
      </w:pPr>
      <w:r>
        <w:rPr>
          <w:rFonts w:ascii="Arial" w:cs="Arial" w:eastAsia="Arial" w:hAnsi="Arial"/>
          <w:sz w:val="24"/>
          <w:szCs w:val="24"/>
        </w:rPr>
        <w:t xml:space="preserve">- внедрена новая система оплаты труда государственных и муниципальных служащих, основанная на унификации подхода к оплате труда, размер которой зависит от реального вклада, результативности и квалификации работников;</w:t>
      </w:r>
    </w:p>
    <w:p>
      <w:pPr>
        <w:spacing w:after="120"/>
        <w:ind w:firstLine="709"/>
        <w:jc w:val="both"/>
      </w:pPr>
      <w:r>
        <w:rPr>
          <w:rFonts w:ascii="Arial" w:cs="Arial" w:eastAsia="Arial" w:hAnsi="Arial"/>
          <w:sz w:val="24"/>
          <w:szCs w:val="24"/>
        </w:rPr>
        <w:t xml:space="preserve">- выравнены коэффициенты кратности к должностным окладам, применяемые при определении размера должностных окладов государственных гражданских служащих и муниципальных служащих, в первую очередь повышены должностные оклады служащих низового звена. </w:t>
      </w:r>
    </w:p>
    <w:p>
      <w:pPr>
        <w:spacing w:after="120"/>
        <w:ind w:firstLine="709"/>
        <w:jc w:val="both"/>
      </w:pPr>
      <w:r>
        <w:rPr>
          <w:rFonts w:ascii="Arial" w:cs="Arial" w:eastAsia="Arial" w:hAnsi="Arial"/>
          <w:sz w:val="24"/>
          <w:szCs w:val="24"/>
        </w:rPr>
        <w:t xml:space="preserve">Вместе с тем, на период 2017–2019 годов был установлен мораторий на увеличение предельной штатной численности действующих государственных органов, аппаратов полномочных представителей Правительства Кыргызской Республики в областях, местных государственных администраций. </w:t>
      </w:r>
    </w:p>
    <w:p>
      <w:pPr>
        <w:spacing w:after="120"/>
        <w:ind w:firstLine="709"/>
        <w:jc w:val="both"/>
      </w:pPr>
      <w:r>
        <w:rPr>
          <w:rFonts w:ascii="Arial" w:cs="Arial" w:eastAsia="Arial" w:hAnsi="Arial"/>
          <w:sz w:val="24"/>
          <w:szCs w:val="24"/>
        </w:rPr>
        <w:t xml:space="preserve">В 2018 году, в целях снижения бюджетных расходов на содержание государственного сектора, в 29 государственных органах произведена оптимизация структуры и штатной численности (оптимизировано 1,5 тыс. штатных единиц, с экономией фонда оплаты труда на сумму более 85,0 млн сомов).</w:t>
      </w:r>
    </w:p>
    <w:p>
      <w:pPr>
        <w:spacing w:after="120"/>
        <w:ind w:firstLine="709"/>
        <w:jc w:val="both"/>
      </w:pPr>
      <w:r>
        <w:rPr>
          <w:rFonts w:ascii="Arial" w:cs="Arial" w:eastAsia="Arial" w:hAnsi="Arial"/>
          <w:sz w:val="24"/>
          <w:szCs w:val="24"/>
        </w:rPr>
        <w:t xml:space="preserve">В 2019–2020 годах было произведено повышение заработной платы по ряду государственных органов, в том числе:</w:t>
      </w:r>
    </w:p>
    <w:p>
      <w:pPr>
        <w:spacing w:after="120"/>
        <w:ind w:firstLine="709"/>
        <w:jc w:val="both"/>
      </w:pPr>
      <w:r>
        <w:rPr>
          <w:rFonts w:ascii="Arial" w:cs="Arial" w:eastAsia="Arial" w:hAnsi="Arial"/>
          <w:sz w:val="24"/>
          <w:szCs w:val="24"/>
        </w:rPr>
        <w:t xml:space="preserve">- Управление делами Президента и Правительства Кыргызской Республики и Клиническая больница (обслуживающий персонал, от 10 до 25 %);</w:t>
      </w:r>
    </w:p>
    <w:p>
      <w:pPr>
        <w:spacing w:after="120"/>
        <w:ind w:firstLine="709"/>
        <w:jc w:val="both"/>
      </w:pPr>
      <w:r>
        <w:rPr>
          <w:rFonts w:ascii="Arial" w:cs="Arial" w:eastAsia="Arial" w:hAnsi="Arial"/>
          <w:sz w:val="24"/>
          <w:szCs w:val="24"/>
        </w:rPr>
        <w:t xml:space="preserve">- Национальная академия наук Кыргызской Республики на 30 %, за счет оптимизации структуры на 20 %;</w:t>
      </w:r>
    </w:p>
    <w:p>
      <w:pPr>
        <w:spacing w:after="120"/>
        <w:ind w:firstLine="709"/>
        <w:jc w:val="both"/>
      </w:pPr>
      <w:r>
        <w:rPr>
          <w:rFonts w:ascii="Arial" w:cs="Arial" w:eastAsia="Arial" w:hAnsi="Arial"/>
          <w:sz w:val="24"/>
          <w:szCs w:val="24"/>
        </w:rPr>
        <w:t xml:space="preserve">- Министерство культуры, информации и туризма Кыргызской Республики (работники театров и музеев, в среднем на 80 %);</w:t>
      </w:r>
    </w:p>
    <w:p>
      <w:pPr>
        <w:spacing w:after="120"/>
        <w:ind w:firstLine="709"/>
        <w:jc w:val="both"/>
      </w:pPr>
      <w:r>
        <w:rPr>
          <w:rFonts w:ascii="Arial" w:cs="Arial" w:eastAsia="Arial" w:hAnsi="Arial"/>
          <w:sz w:val="24"/>
          <w:szCs w:val="24"/>
        </w:rPr>
        <w:t xml:space="preserve">- сфера образования в среднем на 30 %;</w:t>
      </w:r>
    </w:p>
    <w:p>
      <w:pPr>
        <w:spacing w:after="120"/>
        <w:ind w:firstLine="709"/>
        <w:jc w:val="both"/>
      </w:pPr>
      <w:r>
        <w:rPr>
          <w:rFonts w:ascii="Arial" w:cs="Arial" w:eastAsia="Arial" w:hAnsi="Arial"/>
          <w:sz w:val="24"/>
          <w:szCs w:val="24"/>
        </w:rPr>
        <w:t xml:space="preserve">- учреждения физической культуры и спорта до 50 %;</w:t>
      </w:r>
    </w:p>
    <w:p>
      <w:pPr>
        <w:spacing w:after="120"/>
        <w:ind w:firstLine="709"/>
        <w:jc w:val="both"/>
      </w:pPr>
      <w:r>
        <w:rPr>
          <w:rFonts w:ascii="Arial" w:cs="Arial" w:eastAsia="Arial" w:hAnsi="Arial"/>
          <w:sz w:val="24"/>
          <w:szCs w:val="24"/>
        </w:rPr>
        <w:t xml:space="preserve">- Аппарат Акыйкатчы (Омбудсмена) Кыргызской Республики в среднем на 95 %;</w:t>
      </w:r>
    </w:p>
    <w:p>
      <w:pPr>
        <w:spacing w:after="120"/>
        <w:ind w:firstLine="709"/>
        <w:jc w:val="both"/>
      </w:pPr>
      <w:r>
        <w:rPr>
          <w:rFonts w:ascii="Arial" w:cs="Arial" w:eastAsia="Arial" w:hAnsi="Arial"/>
          <w:sz w:val="24"/>
          <w:szCs w:val="24"/>
        </w:rPr>
        <w:t xml:space="preserve">- Аппарат Центральной комиссии по выборам и проведению референдумов Кыргызской Республики в среднем на 40 %;</w:t>
      </w:r>
    </w:p>
    <w:p>
      <w:pPr>
        <w:spacing w:after="120"/>
        <w:ind w:firstLine="709"/>
        <w:jc w:val="both"/>
      </w:pPr>
      <w:r>
        <w:rPr>
          <w:rFonts w:ascii="Arial" w:cs="Arial" w:eastAsia="Arial" w:hAnsi="Arial"/>
          <w:sz w:val="24"/>
          <w:szCs w:val="24"/>
        </w:rPr>
        <w:t xml:space="preserve">- Национальный статистический комитет Кыргызской Республики (государственные служащие, работники, не относящиеся к государственным служащим и специалистам-интервьюерам) в среднем на 32,4 %;</w:t>
      </w:r>
    </w:p>
    <w:p>
      <w:pPr>
        <w:spacing w:after="120"/>
        <w:ind w:firstLine="709"/>
        <w:jc w:val="both"/>
      </w:pPr>
      <w:r>
        <w:rPr>
          <w:rFonts w:ascii="Arial" w:cs="Arial" w:eastAsia="Arial" w:hAnsi="Arial"/>
          <w:sz w:val="24"/>
          <w:szCs w:val="24"/>
        </w:rPr>
        <w:t xml:space="preserve">- Государственная служба финансовой разведки при Правительстве Кыргызской Республики в среднем на 71,4 %;</w:t>
      </w:r>
    </w:p>
    <w:p>
      <w:pPr>
        <w:spacing w:after="120"/>
        <w:ind w:firstLine="709"/>
        <w:jc w:val="both"/>
      </w:pPr>
      <w:r>
        <w:rPr>
          <w:rFonts w:ascii="Arial" w:cs="Arial" w:eastAsia="Arial" w:hAnsi="Arial"/>
          <w:sz w:val="24"/>
          <w:szCs w:val="24"/>
        </w:rPr>
        <w:t xml:space="preserve">- Государственная кадровая служба Кыргызской Республики в среднем на 36,5 %;</w:t>
      </w:r>
    </w:p>
    <w:p>
      <w:pPr>
        <w:spacing w:after="120"/>
        <w:ind w:firstLine="709"/>
        <w:jc w:val="both"/>
      </w:pPr>
      <w:r>
        <w:rPr>
          <w:rFonts w:ascii="Arial" w:cs="Arial" w:eastAsia="Arial" w:hAnsi="Arial"/>
          <w:sz w:val="24"/>
          <w:szCs w:val="24"/>
        </w:rPr>
        <w:t xml:space="preserve">- правоохранительные органы (МВД, ГСИН, ГТС и ГСБЭП), рост составил в среднем от 20 % до 40 %;</w:t>
      </w:r>
    </w:p>
    <w:p>
      <w:pPr>
        <w:spacing w:after="120"/>
        <w:ind w:firstLine="709"/>
        <w:jc w:val="both"/>
      </w:pPr>
      <w:r>
        <w:rPr>
          <w:rFonts w:ascii="Arial" w:cs="Arial" w:eastAsia="Arial" w:hAnsi="Arial"/>
          <w:sz w:val="24"/>
          <w:szCs w:val="24"/>
        </w:rPr>
        <w:t xml:space="preserve">- повышение заработной платы техническому обслуживающему персоналу и младшего обслуживающему персоналу</w:t>
      </w:r>
      <w:r>
        <w:rPr>
          <w:rFonts w:ascii="Arial" w:cs="Arial" w:eastAsia="Arial" w:hAnsi="Arial"/>
          <w:sz w:val="24"/>
          <w:szCs w:val="24"/>
        </w:rPr>
        <w:t xml:space="preserve">,</w:t>
      </w:r>
      <w:r>
        <w:rPr>
          <w:rFonts w:ascii="Arial" w:cs="Arial" w:eastAsia="Arial" w:hAnsi="Arial"/>
          <w:sz w:val="24"/>
          <w:szCs w:val="24"/>
        </w:rPr>
        <w:t xml:space="preserve"> занят</w:t>
      </w:r>
      <w:r>
        <w:rPr>
          <w:rFonts w:ascii="Arial" w:cs="Arial" w:eastAsia="Arial" w:hAnsi="Arial"/>
          <w:sz w:val="24"/>
          <w:szCs w:val="24"/>
        </w:rPr>
        <w:t xml:space="preserve">ому</w:t>
      </w:r>
      <w:r>
        <w:rPr>
          <w:rFonts w:ascii="Arial" w:cs="Arial" w:eastAsia="Arial" w:hAnsi="Arial"/>
          <w:sz w:val="24"/>
          <w:szCs w:val="24"/>
        </w:rPr>
        <w:t xml:space="preserve"> обслуживанием государственных органов и органов местного самоуправления</w:t>
      </w:r>
      <w:r>
        <w:rPr>
          <w:rFonts w:ascii="Arial" w:cs="Arial" w:eastAsia="Arial" w:hAnsi="Arial"/>
          <w:sz w:val="24"/>
          <w:szCs w:val="24"/>
        </w:rPr>
        <w:t xml:space="preserve">,</w:t>
      </w:r>
      <w:r>
        <w:rPr>
          <w:rFonts w:ascii="Arial" w:cs="Arial" w:eastAsia="Arial" w:hAnsi="Arial"/>
          <w:sz w:val="24"/>
          <w:szCs w:val="24"/>
        </w:rPr>
        <w:t xml:space="preserve"> в 2 раза.</w:t>
      </w:r>
    </w:p>
    <w:p>
      <w:pPr>
        <w:spacing w:after="120"/>
        <w:ind w:firstLine="709"/>
        <w:jc w:val="both"/>
      </w:pPr>
      <w:r>
        <w:rPr>
          <w:rFonts w:ascii="Arial" w:cs="Arial" w:eastAsia="Arial" w:hAnsi="Arial"/>
          <w:sz w:val="24"/>
          <w:szCs w:val="24"/>
        </w:rPr>
        <w:t xml:space="preserve">В 2021 году, в целях улучшения условий оплаты труда работников учреждений культуры, искусства и информации планируется повышение заработной платы на 50 % 8 595 работникам в системе культуры, в республиканском бюджете на эти цели предусмотрено 226,6 млн сомов.</w:t>
      </w:r>
    </w:p>
    <w:p>
      <w:pPr>
        <w:spacing w:after="120"/>
        <w:ind w:firstLine="709"/>
        <w:jc w:val="both"/>
      </w:pPr>
      <w:r>
        <w:rPr>
          <w:rFonts w:ascii="Arial" w:cs="Arial" w:eastAsia="Arial" w:hAnsi="Arial"/>
          <w:sz w:val="24"/>
          <w:szCs w:val="24"/>
        </w:rPr>
        <w:t xml:space="preserve">Также на повышение заработной платы работников системы здравоохранения с 1 июля 2021 года предусмотрено 1 884,8 млн сомов.</w:t>
      </w:r>
    </w:p>
    <w:p>
      <w:pPr>
        <w:spacing w:after="120"/>
        <w:ind w:firstLine="709"/>
        <w:jc w:val="both"/>
      </w:pPr>
      <w:r>
        <w:rPr>
          <w:rFonts w:ascii="Arial" w:cs="Arial" w:eastAsia="Arial" w:hAnsi="Arial"/>
          <w:sz w:val="24"/>
          <w:szCs w:val="24"/>
        </w:rPr>
        <w:t xml:space="preserve">Кроме того, в 2021 году в рамках реформирования государственного управления Государственная пограничная служба Кыргызской Республики (ГПС) передана в ведение Государственного комитета национальной безопасности Кыргызской Республики (ГКНБ), в связи с чем приравниваются условия оплаты труда военнослужащих ГПС до уровня оплаты труда военнослужащих ГКНБ, рост составит в среднем 30 %.</w:t>
      </w:r>
    </w:p>
    <w:p>
      <w:pPr>
        <w:spacing w:after="120"/>
        <w:ind w:firstLine="709"/>
        <w:jc w:val="both"/>
      </w:pPr>
      <w:r>
        <w:rPr>
          <w:rFonts w:ascii="Arial" w:cs="Arial" w:eastAsia="Arial" w:hAnsi="Arial"/>
          <w:sz w:val="24"/>
          <w:szCs w:val="24"/>
        </w:rPr>
        <w:t xml:space="preserve">В соответствии с Конституцией Кыргызской Республики, принятой референдумом 11 апреля 2021 года, установлена президентская форма правления, новый порядок формирования исполнительной, законодательной и судебной власти. Правительство Кыргызской Республики преобразовано в Кабинет Министров Кыргызской Республики и определена его новая структура. </w:t>
      </w:r>
    </w:p>
    <w:p>
      <w:pPr>
        <w:spacing w:after="120"/>
        <w:ind w:firstLine="709"/>
        <w:jc w:val="both"/>
      </w:pPr>
      <w:r>
        <w:rPr>
          <w:rFonts w:ascii="Arial" w:cs="Arial" w:eastAsia="Arial" w:hAnsi="Arial"/>
          <w:sz w:val="24"/>
          <w:szCs w:val="24"/>
        </w:rPr>
        <w:t xml:space="preserve">В настоящее время остро стоит вопрос </w:t>
      </w:r>
      <w:r>
        <w:rPr>
          <w:rFonts w:ascii="Arial" w:cs="Arial" w:eastAsia="Arial" w:hAnsi="Arial"/>
          <w:sz w:val="24"/>
          <w:szCs w:val="24"/>
        </w:rPr>
        <w:t xml:space="preserve">о вы</w:t>
      </w:r>
      <w:r>
        <w:rPr>
          <w:rFonts w:ascii="Arial" w:cs="Arial" w:eastAsia="Arial" w:hAnsi="Arial"/>
          <w:sz w:val="24"/>
          <w:szCs w:val="24"/>
        </w:rPr>
        <w:t xml:space="preserve">равнивани</w:t>
      </w:r>
      <w:r>
        <w:rPr>
          <w:rFonts w:ascii="Arial" w:cs="Arial" w:eastAsia="Arial" w:hAnsi="Arial"/>
          <w:sz w:val="24"/>
          <w:szCs w:val="24"/>
        </w:rPr>
        <w:t xml:space="preserve">и</w:t>
      </w:r>
      <w:r>
        <w:rPr>
          <w:rFonts w:ascii="Arial" w:cs="Arial" w:eastAsia="Arial" w:hAnsi="Arial"/>
          <w:sz w:val="24"/>
          <w:szCs w:val="24"/>
        </w:rPr>
        <w:t xml:space="preserve"> условий оплаты труда государственных органов в связи с утверждением новой государственной структуры исполнительной власти с передачей административных ведомств при Кабинете Министров Кыргызской Республики в ведение министерств, с учетом иерархии государственных органов.</w:t>
      </w:r>
    </w:p>
    <w:p>
      <w:pPr>
        <w:spacing w:after="120"/>
        <w:ind w:firstLine="709"/>
        <w:jc w:val="both"/>
      </w:pPr>
      <w:r>
        <w:rPr>
          <w:rFonts w:ascii="Arial" w:cs="Arial" w:eastAsia="Arial" w:hAnsi="Arial"/>
          <w:sz w:val="24"/>
          <w:szCs w:val="24"/>
        </w:rPr>
        <w:t xml:space="preserve">Расходы, относящиеся к фонду оплаты труда, являются крайне важным аспектом в контексте обеспечения общей устойчивости бюджетных расходов. В настоящее время расходы на заработную плату составляют 30,7 % общего объема расходов государственного сектора и являются значительными долгосрочными бюджетными обязательствами государства, регулирование которых вызывает особые сложности. </w:t>
      </w:r>
    </w:p>
    <w:p>
      <w:pPr>
        <w:spacing w:after="120"/>
        <w:ind w:firstLine="709"/>
        <w:jc w:val="both"/>
      </w:pPr>
      <w:r>
        <w:rPr>
          <w:rFonts w:ascii="Arial" w:cs="Arial" w:eastAsia="Arial" w:hAnsi="Arial"/>
          <w:sz w:val="24"/>
          <w:szCs w:val="24"/>
        </w:rPr>
        <w:t xml:space="preserve">Планирование фонда оплаты труда зависит как от установленных условий оплаты труда, так и от утвержденной предельной штатной численности учреждений, финансируемых из государственного бюджета.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Среднесрочные задачи на 2022–2024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Управление расходами фонда оплаты труда в Кыргызской Республике продолжает оставаться крайне важным аспектом в части обеспечения общей устойчивости бюджетных расходов. В этой связи основными задачами проведения анализа в 2022</w:t>
      </w:r>
      <w:r>
        <w:rPr>
          <w:rFonts w:ascii="Arial" w:cs="Arial" w:eastAsia="Arial" w:hAnsi="Arial"/>
          <w:b/>
          <w:bCs/>
          <w:sz w:val="24"/>
          <w:szCs w:val="24"/>
        </w:rPr>
        <w:t xml:space="preserve">–</w:t>
      </w:r>
      <w:r>
        <w:rPr>
          <w:rFonts w:ascii="Arial" w:cs="Arial" w:eastAsia="Arial" w:hAnsi="Arial"/>
          <w:sz w:val="24"/>
          <w:szCs w:val="24"/>
        </w:rPr>
        <w:t xml:space="preserve">2024 годы являются:</w:t>
      </w:r>
    </w:p>
    <w:p>
      <w:pPr>
        <w:spacing w:after="120"/>
        <w:ind w:firstLine="709"/>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120"/>
        <w:ind w:firstLine="709"/>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w:t>
      </w:r>
    </w:p>
    <w:p>
      <w:pPr>
        <w:spacing w:after="120"/>
        <w:ind w:firstLine="709"/>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120"/>
        <w:ind w:firstLine="709"/>
        <w:jc w:val="both"/>
      </w:pPr>
      <w:r>
        <w:rPr>
          <w:rFonts w:ascii="Arial" w:cs="Arial" w:eastAsia="Arial" w:hAnsi="Arial"/>
          <w:sz w:val="24"/>
          <w:szCs w:val="24"/>
        </w:rPr>
        <w:t xml:space="preserve">- автоматизация учета численности работников бюджетной сферы в разрезе функциональной и ведомственной классификации;</w:t>
      </w:r>
    </w:p>
    <w:p>
      <w:pPr>
        <w:spacing w:after="120"/>
        <w:ind w:firstLine="709"/>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120"/>
        <w:ind w:firstLine="709"/>
        <w:jc w:val="both"/>
      </w:pPr>
      <w:r>
        <w:rPr>
          <w:rFonts w:ascii="Arial" w:cs="Arial" w:eastAsia="Arial" w:hAnsi="Arial"/>
          <w:sz w:val="24"/>
          <w:szCs w:val="24"/>
        </w:rPr>
        <w:t xml:space="preserve">- предсказуемость динамики заработной платы в рамках устойчивости бюджетных расходов в государственном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Повышение заработной платы работников образовательных организаций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2019 году было предусмотрено повышение заработной платы всех категорий работников образования (за исключением технического обслуживающего персонала, младшего обслуживающего персонала) и всех типов образовательных организаций (за исключением образовательных организаций высшего профессионального образования) на 30 %, а также приравнены условия оплаты труда педагогических работников отдельных типов образовательных организаций, имеющих диплом специалиста</w:t>
      </w:r>
      <w:r>
        <w:rPr>
          <w:rFonts w:ascii="Arial" w:cs="Arial" w:eastAsia="Arial" w:hAnsi="Arial"/>
          <w:sz w:val="24"/>
          <w:szCs w:val="24"/>
        </w:rPr>
        <w:t xml:space="preserve">, </w:t>
      </w:r>
      <w:r>
        <w:rPr>
          <w:rFonts w:ascii="Arial" w:cs="Arial" w:eastAsia="Arial" w:hAnsi="Arial"/>
          <w:sz w:val="24"/>
          <w:szCs w:val="24"/>
        </w:rPr>
        <w:t xml:space="preserve">и работников, имеющих высшее образование по магистерской программе.</w:t>
      </w:r>
    </w:p>
    <w:p>
      <w:pPr>
        <w:spacing w:after="120"/>
        <w:ind w:firstLine="709"/>
        <w:jc w:val="both"/>
      </w:pPr>
      <w:r>
        <w:rPr>
          <w:rFonts w:ascii="Arial" w:cs="Arial" w:eastAsia="Arial" w:hAnsi="Arial"/>
          <w:sz w:val="24"/>
          <w:szCs w:val="24"/>
        </w:rPr>
        <w:t xml:space="preserve">На повышение размера заработной платы в республиканском бюджете на 2020 год было предусмотрено 6,9 млрд сомов дополнительно. Всего повышением заработной платы охвачено около 120 000 работников сферы образования: 77 860 учителей общеобразовательных организаций; 7 694 воспитател</w:t>
      </w:r>
      <w:r>
        <w:rPr>
          <w:rFonts w:ascii="Arial" w:cs="Arial" w:eastAsia="Arial" w:hAnsi="Arial"/>
          <w:sz w:val="24"/>
          <w:szCs w:val="24"/>
        </w:rPr>
        <w:t xml:space="preserve">я</w:t>
      </w:r>
      <w:r>
        <w:rPr>
          <w:rFonts w:ascii="Arial" w:cs="Arial" w:eastAsia="Arial" w:hAnsi="Arial"/>
          <w:sz w:val="24"/>
          <w:szCs w:val="24"/>
        </w:rPr>
        <w:t xml:space="preserve"> дошкольных образовательных организаций; 3 680 мастеров производственного обучения профессионально</w:t>
      </w:r>
      <w:r>
        <w:rPr>
          <w:rFonts w:ascii="Arial" w:cs="Arial" w:eastAsia="Arial" w:hAnsi="Arial"/>
          <w:b/>
          <w:bCs/>
          <w:sz w:val="24"/>
          <w:szCs w:val="24"/>
        </w:rPr>
        <w:t xml:space="preserve">–</w:t>
      </w:r>
      <w:r>
        <w:rPr>
          <w:rFonts w:ascii="Arial" w:cs="Arial" w:eastAsia="Arial" w:hAnsi="Arial"/>
          <w:sz w:val="24"/>
          <w:szCs w:val="24"/>
        </w:rPr>
        <w:t xml:space="preserve">технического училища; 7 427 преподавателей средн</w:t>
      </w:r>
      <w:r>
        <w:rPr>
          <w:rFonts w:ascii="Arial" w:cs="Arial" w:eastAsia="Arial" w:hAnsi="Arial"/>
          <w:sz w:val="24"/>
          <w:szCs w:val="24"/>
        </w:rPr>
        <w:t xml:space="preserve">его</w:t>
      </w:r>
      <w:r>
        <w:rPr>
          <w:rFonts w:ascii="Arial" w:cs="Arial" w:eastAsia="Arial" w:hAnsi="Arial"/>
          <w:sz w:val="24"/>
          <w:szCs w:val="24"/>
        </w:rPr>
        <w:t xml:space="preserve"> профессионального образования (училища, колледжи); 23 339 остальных работников образования (административно-управленческий персонал организаций образования, преподаватели кружков, методисты, воспитатели детских домов и школ</w:t>
      </w:r>
      <w:r>
        <w:rPr>
          <w:rFonts w:ascii="Arial" w:cs="Arial" w:eastAsia="Arial" w:hAnsi="Arial"/>
          <w:b/>
          <w:bCs/>
          <w:sz w:val="24"/>
          <w:szCs w:val="24"/>
        </w:rPr>
        <w:t xml:space="preserve">-</w:t>
      </w:r>
      <w:r>
        <w:rPr>
          <w:rFonts w:ascii="Arial" w:cs="Arial" w:eastAsia="Arial" w:hAnsi="Arial"/>
          <w:sz w:val="24"/>
          <w:szCs w:val="24"/>
        </w:rPr>
        <w:t xml:space="preserve">интернатов).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Повышение заработной платы работников здравоохранения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Указом Президента Кыргызской Республики «О неотложных мерах по развитию сферы здравоохранения и улучшению качества жизни и здоровья населения в Кыргызской Республике» от 8 февраля 2021 года № 23 предусмотрено стимулирование медицинских работников, включая поэтапное повышение оплаты труда на 50 %, расширение социальных гарантий и иных мер поддержки с 1 июля 2021 года. </w:t>
      </w:r>
    </w:p>
    <w:p>
      <w:pPr>
        <w:spacing w:after="120"/>
        <w:ind w:firstLine="709"/>
        <w:jc w:val="both"/>
      </w:pPr>
      <w:r>
        <w:rPr>
          <w:rFonts w:ascii="Arial" w:cs="Arial" w:eastAsia="Arial" w:hAnsi="Arial"/>
          <w:sz w:val="24"/>
          <w:szCs w:val="24"/>
        </w:rPr>
        <w:t xml:space="preserve">Учитывая заслуги медицинских работников в период пандемии COVID-19, в соответствии с Положением о порядке расходования средств, поступающих на проведение мероприятий по предупреждению и борьбе с эпидемиями, утвержденным постановлением Правительства Кыргызской Республики от 3 апреля 2020 года № 194, медицинским работникам производится выплата компенсаций. </w:t>
      </w:r>
    </w:p>
    <w:p>
      <w:pPr>
        <w:spacing w:after="120"/>
        <w:ind w:firstLine="709"/>
        <w:jc w:val="both"/>
      </w:pPr>
      <w:r>
        <w:rPr>
          <w:rFonts w:ascii="Arial" w:cs="Arial" w:eastAsia="Arial" w:hAnsi="Arial"/>
          <w:sz w:val="24"/>
          <w:szCs w:val="24"/>
        </w:rPr>
        <w:t xml:space="preserve">В целях стимулирования медицинских работников, осуществляющих деятельность в очагах эпидемии коронавирусной инфекции COVID-19 и на приравненных к ним территориях, в 2020 году были выделены средства в сумме 1 340,3 млн сомов на компенсационные выплаты работникам организаций здравоохранения и лицам, привлекаемым к работе на очаговых территориях. Также, на единовременную денежную компенсацию медицинским работникам, инфицированным коронавирусной инфекцией COVID-19, и семьям медицинских работников, погибших вследствие заражения инфекцией</w:t>
      </w:r>
      <w:r>
        <w:rPr>
          <w:rFonts w:ascii="Arial" w:cs="Arial" w:eastAsia="Arial" w:hAnsi="Arial"/>
          <w:sz w:val="24"/>
          <w:szCs w:val="24"/>
        </w:rPr>
        <w:t xml:space="preserve">,</w:t>
      </w:r>
      <w:r>
        <w:rPr>
          <w:rFonts w:ascii="Arial" w:cs="Arial" w:eastAsia="Arial" w:hAnsi="Arial"/>
          <w:sz w:val="24"/>
          <w:szCs w:val="24"/>
        </w:rPr>
        <w:t xml:space="preserve"> – 388,8 млн сомов.</w:t>
      </w:r>
    </w:p>
    <w:p>
      <w:pPr>
        <w:spacing w:after="120"/>
        <w:ind w:firstLine="709"/>
        <w:jc w:val="both"/>
      </w:pPr>
      <w:r>
        <w:rPr>
          <w:rFonts w:ascii="Arial" w:cs="Arial" w:eastAsia="Arial" w:hAnsi="Arial"/>
          <w:sz w:val="24"/>
          <w:szCs w:val="24"/>
        </w:rPr>
        <w:t xml:space="preserve">В 2021 году распоряжениями Правительства Кыргызской Республики выделены средства из республиканского бюджета в сумме 500,0 млн сомов на компенсационные выплаты работникам организаций здравоохранения и лицам, привлекаемым к работе на очаговых территориях, на единовременную денежную компенсацию медицинским работникам, инфицированным коронавирусной инфекцией COVID-19, и семьям медицинских работников, погибших вследствие заражения инфекцией, – 243,0 млн сомов.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4.4. </w:t>
      </w:r>
      <w:r>
        <w:rPr>
          <w:rFonts w:ascii="Arial" w:cs="Arial" w:eastAsia="Arial" w:hAnsi="Arial"/>
          <w:b/>
          <w:bCs/>
          <w:sz w:val="24"/>
          <w:szCs w:val="24"/>
        </w:rPr>
        <w:t xml:space="preserve">Внутренние инвестиции</w:t>
      </w:r>
    </w:p>
    <w:p>
      <w:pPr>
        <w:spacing w:after="120"/>
        <w:jc w:val="both"/>
      </w:pPr>
      <w:r>
        <w:rPr>
          <w:rFonts w:ascii="Arial" w:cs="Arial" w:eastAsia="Arial" w:hAnsi="Arial"/>
          <w:sz w:val="24"/>
          <w:szCs w:val="24"/>
        </w:rPr>
        <w:t xml:space="preserve"/>
      </w:r>
    </w:p>
    <w:p>
      <w:pPr>
        <w:spacing w:after="200"/>
        <w:ind w:firstLine="708"/>
        <w:jc w:val="both"/>
      </w:pPr>
      <w:r>
        <w:rPr>
          <w:rFonts w:ascii="Arial" w:cs="Arial" w:eastAsia="Arial" w:hAnsi="Arial"/>
          <w:b/>
          <w:bCs/>
          <w:sz w:val="24"/>
          <w:szCs w:val="24"/>
        </w:rPr>
        <w:t xml:space="preserve">Капитальные вложения</w:t>
      </w:r>
    </w:p>
    <w:p>
      <w:pPr>
        <w:spacing w:after="120"/>
        <w:ind w:firstLine="708"/>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объектов и отдельных вопросов, имеющих важное социальное значение.</w:t>
      </w:r>
    </w:p>
    <w:p>
      <w:pPr>
        <w:spacing w:after="120"/>
        <w:ind w:firstLine="708"/>
        <w:jc w:val="both"/>
      </w:pPr>
      <w:r>
        <w:rPr>
          <w:rFonts w:ascii="Arial" w:cs="Arial" w:eastAsia="Arial" w:hAnsi="Arial"/>
          <w:sz w:val="24"/>
          <w:szCs w:val="24"/>
        </w:rPr>
        <w:t xml:space="preserve">За последние годы большая часть капитальных вложений направлялась в первоочередном порядке на строительство и реконструкцию социальных объектов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связан с направлением большей части средств на социальные объекты. </w:t>
      </w:r>
    </w:p>
    <w:p>
      <w:pPr>
        <w:spacing w:after="120"/>
        <w:ind w:firstLine="708"/>
        <w:jc w:val="both"/>
      </w:pPr>
      <w:r>
        <w:rPr>
          <w:rFonts w:ascii="Arial" w:cs="Arial" w:eastAsia="Arial" w:hAnsi="Arial"/>
          <w:sz w:val="24"/>
          <w:szCs w:val="24"/>
        </w:rPr>
        <w:t xml:space="preserve">При этом, государственные капитальные вложения направляются на обеспечение устойчивого развития инфраструктуры регионов и республики.</w:t>
      </w:r>
    </w:p>
    <w:p>
      <w:pPr>
        <w:spacing w:after="120"/>
        <w:ind w:firstLine="708"/>
        <w:jc w:val="both"/>
      </w:pPr>
      <w:r>
        <w:rPr>
          <w:rFonts w:ascii="Arial" w:cs="Arial" w:eastAsia="Arial" w:hAnsi="Arial"/>
          <w:sz w:val="24"/>
          <w:szCs w:val="24"/>
        </w:rPr>
        <w:t xml:space="preserve">Основными задачами по совершенствованию и развитию финансирования за счет государственных капитальных вложений будут:</w:t>
      </w:r>
    </w:p>
    <w:p>
      <w:pPr>
        <w:spacing w:after="120"/>
        <w:ind w:firstLine="708"/>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120"/>
        <w:ind w:firstLine="708"/>
        <w:jc w:val="both"/>
      </w:pPr>
      <w:r>
        <w:rPr>
          <w:rFonts w:ascii="Arial" w:cs="Arial" w:eastAsia="Arial" w:hAnsi="Arial"/>
          <w:sz w:val="24"/>
          <w:szCs w:val="24"/>
        </w:rPr>
        <w:t xml:space="preserve">- 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120"/>
        <w:ind w:firstLine="708"/>
        <w:jc w:val="both"/>
      </w:pPr>
      <w:r>
        <w:rPr>
          <w:rFonts w:ascii="Arial" w:cs="Arial" w:eastAsia="Arial" w:hAnsi="Arial"/>
          <w:sz w:val="24"/>
          <w:szCs w:val="24"/>
        </w:rPr>
        <w:t xml:space="preserve">- 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120"/>
        <w:ind w:firstLine="708"/>
        <w:jc w:val="both"/>
      </w:pPr>
      <w:r>
        <w:rPr>
          <w:rFonts w:ascii="Arial" w:cs="Arial" w:eastAsia="Arial" w:hAnsi="Arial"/>
          <w:sz w:val="24"/>
          <w:szCs w:val="24"/>
        </w:rPr>
        <w:t xml:space="preserve">- формирование перечней социальных объектов высокой строительной готовности и аварийных объектов, которое необходимо для завершения строительства и ввода их в эксплуатацию, а также завершенных объектов, по которым имеется кредиторская задолженность.</w:t>
      </w:r>
    </w:p>
    <w:p>
      <w:pPr>
        <w:spacing w:after="120"/>
        <w:ind w:firstLine="708"/>
        <w:jc w:val="both"/>
      </w:pPr>
      <w:r>
        <w:rPr>
          <w:rFonts w:ascii="Arial" w:cs="Arial" w:eastAsia="Arial" w:hAnsi="Arial"/>
          <w:sz w:val="24"/>
          <w:szCs w:val="24"/>
        </w:rPr>
        <w:t xml:space="preserve">В 2020 году в приоритетном порядке расходы в рамках государственных капитальных вложений были направлены в сектор «образование» – в общем объеме 1 038,9 млн сомов; сектор «здравоохранение» – в объеме 149,9 млн сомов; сектор «культура и спорт» – в объеме 55,3 млн сомов; сектор «автодороги и мосты» – в объеме 748,1 млн сомов; сектор «ЖКХ» (водоснабжение, инфраструктура, проектные и прочие) – в объеме 439,6 млн сомов; сектор «ирригация» – в объеме 399,5 млн сомов; сектор «оборона и правопорядок» – в объеме 230,2 млн сомов.</w:t>
      </w:r>
    </w:p>
    <w:p>
      <w:pPr>
        <w:spacing w:after="120"/>
        <w:ind w:firstLine="708"/>
        <w:jc w:val="both"/>
      </w:pPr>
      <w:r>
        <w:rPr>
          <w:rFonts w:ascii="Arial" w:cs="Arial" w:eastAsia="Arial" w:hAnsi="Arial"/>
          <w:sz w:val="24"/>
          <w:szCs w:val="24"/>
        </w:rPr>
        <w:t xml:space="preserve">В 2022–2024 годах при увеличении ресурсов для государственных капитальных вложений Министерство экономики и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w:t>
      </w:r>
    </w:p>
    <w:p>
      <w:pPr>
        <w:spacing w:after="120"/>
        <w:ind w:firstLine="708"/>
        <w:jc w:val="both"/>
      </w:pPr>
      <w:r>
        <w:rPr>
          <w:rFonts w:ascii="Arial" w:cs="Arial" w:eastAsia="Arial" w:hAnsi="Arial"/>
          <w:sz w:val="24"/>
          <w:szCs w:val="24"/>
        </w:rPr>
        <w:t xml:space="preserve">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Балыкчы–Тамчы–Чолпон-Ата–Корумду и автодорог, находящихся в приграничных районах Баткенской области и республики в целом. </w:t>
      </w:r>
    </w:p>
    <w:p>
      <w:pPr>
        <w:spacing/>
        <w:ind w:firstLine="688"/>
        <w:jc w:val="both"/>
      </w:pPr>
      <w:r>
        <w:rPr>
          <w:rFonts w:ascii="Arial" w:cs="Arial" w:eastAsia="Arial" w:hAnsi="Arial"/>
          <w:sz w:val="24"/>
          <w:szCs w:val="24"/>
        </w:rPr>
        <w:t xml:space="preserve">В соответствии с государственной программой строительства водохозяйственных сооружений в первоочередном порядке будет профинансировано завершение строительства ирригационных каналов, которое позволит осваивать значительные площади новых орошаемых земель в регионах страны.</w:t>
      </w:r>
    </w:p>
    <w:p>
      <w:pPr>
        <w:spacing/>
        <w:ind w:firstLine="68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Стимулирующие (долевые) гранты</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Стимулирующие (долевые) гранты – денежные средства, предоставляемые исполнительным органам местного самоуправления из республиканского бюджета на проектно-конкурсной основе</w:t>
      </w:r>
      <w:r>
        <w:rPr>
          <w:rFonts w:ascii="Arial" w:cs="Arial" w:eastAsia="Arial" w:hAnsi="Arial"/>
          <w:sz w:val="24"/>
          <w:szCs w:val="24"/>
        </w:rPr>
        <w:t xml:space="preserve">,</w:t>
      </w:r>
      <w:r>
        <w:rPr>
          <w:rFonts w:ascii="Arial" w:cs="Arial" w:eastAsia="Arial" w:hAnsi="Arial"/>
          <w:sz w:val="24"/>
          <w:szCs w:val="24"/>
        </w:rPr>
        <w:t xml:space="preserve">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120"/>
        <w:ind w:firstLine="708"/>
        <w:jc w:val="both"/>
      </w:pPr>
      <w:r>
        <w:rPr>
          <w:rFonts w:ascii="Arial" w:cs="Arial" w:eastAsia="Arial" w:hAnsi="Arial"/>
          <w:sz w:val="24"/>
          <w:szCs w:val="24"/>
        </w:rPr>
        <w:t xml:space="preserve">На 2021 год по статье «Стимулирующие (долевые) гранты» предусмотрено 600,0 млн сомов. В среднесрочном периоде на финансирование стимулирующих (долевых) грантов на 2022–2024 годы предусмотрено 600,0 млн сомов ежегодно. Перечень проектов на получение стимулирующих (долевых) грантов составляется на основании решений комиссий по отбору проектов на уровне районов, городов областного значения, в соответствии с объемами квот.</w:t>
      </w:r>
    </w:p>
    <w:p>
      <w:pPr>
        <w:spacing w:after="120"/>
        <w:ind w:firstLine="709"/>
        <w:jc w:val="both"/>
      </w:pPr>
      <w:r>
        <w:rPr>
          <w:rFonts w:ascii="Arial" w:cs="Arial" w:eastAsia="Arial" w:hAnsi="Arial"/>
          <w:sz w:val="24"/>
          <w:szCs w:val="24"/>
        </w:rPr>
        <w:t xml:space="preserve">Стимулирующие (долевые)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w:t>
      </w:r>
    </w:p>
    <w:p>
      <w:pPr>
        <w:spacing w:after="120"/>
        <w:ind w:firstLine="709"/>
        <w:jc w:val="both"/>
      </w:pPr>
      <w:r>
        <w:rPr>
          <w:rFonts w:ascii="Arial" w:cs="Arial" w:eastAsia="Arial" w:hAnsi="Arial"/>
          <w:sz w:val="24"/>
          <w:szCs w:val="24"/>
        </w:rPr>
        <w:t xml:space="preserve">Проекты, поступающие на получение стимулирующих (долевых)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120"/>
        <w:ind w:firstLine="709"/>
        <w:jc w:val="both"/>
      </w:pPr>
      <w:r>
        <w:rPr>
          <w:rFonts w:ascii="Arial" w:cs="Arial" w:eastAsia="Arial" w:hAnsi="Arial"/>
          <w:sz w:val="24"/>
          <w:szCs w:val="24"/>
        </w:rPr>
        <w:t xml:space="preserve">В 2019–2020 годы из республиканского бюджета за счет стимулирующих грантов осуществлено финансирование на общую сумму 
 757,1 млн сомов.</w:t>
      </w:r>
    </w:p>
    <w:p>
      <w:pPr>
        <w:spacing w:after="120"/>
        <w:ind w:firstLine="708"/>
        <w:jc w:val="both"/>
      </w:pPr>
      <w:r>
        <w:rPr>
          <w:rFonts w:ascii="Arial" w:cs="Arial" w:eastAsia="Arial" w:hAnsi="Arial"/>
          <w:sz w:val="24"/>
          <w:szCs w:val="24"/>
        </w:rPr>
        <w:t xml:space="preserve">Распределение стимулирующих (долевых) грантов по категориям и областям за 2019</w:t>
      </w:r>
      <w:r>
        <w:rPr>
          <w:rFonts w:ascii="Arial" w:cs="Arial" w:eastAsia="Arial" w:hAnsi="Arial"/>
          <w:sz w:val="24"/>
          <w:szCs w:val="24"/>
        </w:rPr>
        <w:t xml:space="preserve">–</w:t>
      </w:r>
      <w:r>
        <w:rPr>
          <w:rFonts w:ascii="Arial" w:cs="Arial" w:eastAsia="Arial" w:hAnsi="Arial"/>
          <w:sz w:val="24"/>
          <w:szCs w:val="24"/>
        </w:rPr>
        <w:t xml:space="preserve">2021 годы выглядит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стимулирующих (долевых) грантов по областям</w:t>
      </w:r>
    </w:p>
    <w:p>
      <w:pPr>
        <w:spacing w:after="360"/>
        <w:jc w:val="center"/>
      </w:pPr>
      <w:r>
        <w:rPr>
          <w:rFonts w:ascii="Arial" w:cs="Arial" w:eastAsia="Arial" w:hAnsi="Arial"/>
          <w:b/>
          <w:bCs/>
          <w:sz w:val="24"/>
          <w:szCs w:val="24"/>
        </w:rPr>
        <w:t xml:space="preserve">за 2019</w:t>
      </w:r>
      <w:r>
        <w:rPr>
          <w:rFonts w:ascii="Arial" w:cs="Arial" w:eastAsia="Arial" w:hAnsi="Arial"/>
          <w:sz w:val="24"/>
          <w:szCs w:val="24"/>
        </w:rPr>
        <w:t xml:space="preserve">–</w:t>
      </w:r>
      <w:r>
        <w:rPr>
          <w:rFonts w:ascii="Arial" w:cs="Arial" w:eastAsia="Arial" w:hAnsi="Arial"/>
          <w:b/>
          <w:bCs/>
          <w:sz w:val="24"/>
          <w:szCs w:val="24"/>
        </w:rPr>
        <w:t xml:space="preserve">2021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8"/>
        <w:gridCol w:w="1809"/>
        <w:gridCol w:w="1809"/>
        <w:gridCol w:w="1796"/>
        <w:gridCol w:w="1796"/>
      </w:tblGrid>
      <w:tr>
        <w:tc>
          <w:tcPr>
            <w:tcW w:type="dxa" w:w="29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регионов</w:t>
            </w:r>
          </w:p>
        </w:tc>
        <w:tc>
          <w:tcPr>
            <w:tcW w:type="dxa" w:w="36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tc>
        <w:tc>
          <w:tcPr>
            <w:tcW w:type="dxa" w:w="35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 (план)</w:t>
            </w:r>
          </w:p>
        </w:tc>
      </w:tr>
      <w:tr>
        <w:tc>
          <w:tcPr>
            <w:vMerge w:val="continue"/>
            <w:tcBorders>
              <w:top w:val="single" w:color="CBBF9E" w:sz="4"/>
              <w:left w:val="single" w:color="CBBF9E" w:sz="4"/>
              <w:bottom w:val="single" w:color="CBBF9E" w:sz="4"/>
              <w:right w:val="single" w:color="CBBF9E" w:sz="4"/>
            </w:tcBorders>
          </w:tcP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 средства</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w:t>
            </w:r>
            <w:r>
              <w:rPr>
                <w:rFonts w:ascii="Arial" w:cs="Arial" w:eastAsia="Arial" w:hAnsi="Arial"/>
                <w:sz w:val="24"/>
                <w:szCs w:val="24"/>
              </w:rPr>
              <w:t xml:space="preserve">.</w:t>
            </w:r>
            <w:r>
              <w:rPr>
                <w:rFonts w:ascii="Arial" w:cs="Arial" w:eastAsia="Arial" w:hAnsi="Arial"/>
                <w:sz w:val="24"/>
                <w:szCs w:val="24"/>
              </w:rPr>
              <w:t xml:space="preserve"> средства</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Факт, в том числе:</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r>
    </w:tbl>
    <w:p>
      <w:pPr>
        <w:spacing w:after="12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Распределение стимулирующих (долевых) грантов по категориям за 2019</w:t>
      </w:r>
      <w:r>
        <w:rPr>
          <w:rFonts w:ascii="Arial" w:cs="Arial" w:eastAsia="Arial" w:hAnsi="Arial"/>
          <w:sz w:val="24"/>
          <w:szCs w:val="24"/>
        </w:rPr>
        <w:t xml:space="preserve">–</w:t>
      </w:r>
      <w:r>
        <w:rPr>
          <w:rFonts w:ascii="Arial" w:cs="Arial" w:eastAsia="Arial" w:hAnsi="Arial"/>
          <w:b/>
          <w:bCs/>
          <w:sz w:val="24"/>
          <w:szCs w:val="24"/>
        </w:rPr>
        <w:t xml:space="preserve">2021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1"/>
        <w:gridCol w:w="1241"/>
        <w:gridCol w:w="1241"/>
        <w:gridCol w:w="1238"/>
        <w:gridCol w:w="1238"/>
      </w:tblGrid>
      <w:tr>
        <w:tc>
          <w:tcPr>
            <w:tcW w:type="dxa" w:w="52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Категории</w:t>
            </w:r>
          </w:p>
        </w:tc>
        <w:tc>
          <w:tcPr>
            <w:tcW w:type="dxa" w:w="24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tc>
        <w:tc>
          <w:tcPr>
            <w:tcW w:type="dxa" w:w="24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 (план)</w:t>
            </w:r>
          </w:p>
        </w:tc>
      </w:tr>
      <w:tr>
        <w:tc>
          <w:tcPr>
            <w:vMerge w:val="continue"/>
            <w:tcBorders>
              <w:top w:val="single" w:color="CBBF9E" w:sz="4"/>
              <w:left w:val="single" w:color="CBBF9E" w:sz="4"/>
              <w:bottom w:val="single" w:color="CBBF9E" w:sz="4"/>
              <w:right w:val="single" w:color="CBBF9E" w:sz="4"/>
            </w:tcBorders>
          </w:tcP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 средства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 средства</w:t>
            </w:r>
          </w:p>
        </w:tc>
      </w:tr>
      <w:tr>
        <w:tc>
          <w:tcPr>
            <w:tcW w:type="dxa" w:w="5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Факт, в том числе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r>
    </w:tbl>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4.5. </w:t>
      </w:r>
      <w:r>
        <w:rPr>
          <w:rFonts w:ascii="Arial" w:cs="Arial" w:eastAsia="Arial" w:hAnsi="Arial"/>
          <w:b/>
          <w:bCs/>
          <w:sz w:val="24"/>
          <w:szCs w:val="24"/>
        </w:rPr>
        <w:t xml:space="preserve">Внешние инвестиции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Внешнее финансирование (кредиты и гранты)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Краткий обзор реализации государственных инвестиций за 2019–2020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период 2019–2020 гг. финансирование проектов </w:t>
      </w:r>
      <w:r>
        <w:rPr>
          <w:rFonts w:ascii="Arial" w:cs="Arial" w:eastAsia="Arial" w:hAnsi="Arial"/>
          <w:sz w:val="24"/>
          <w:szCs w:val="24"/>
        </w:rPr>
        <w:t xml:space="preserve">государственных инвестиций</w:t>
      </w:r>
      <w:r>
        <w:rPr>
          <w:rFonts w:ascii="Arial" w:cs="Arial" w:eastAsia="Arial" w:hAnsi="Arial"/>
          <w:sz w:val="24"/>
          <w:szCs w:val="24"/>
        </w:rPr>
        <w:t xml:space="preserve"> осуществлялось в основном за счет внешних займов и грантов.</w:t>
      </w:r>
    </w:p>
    <w:p>
      <w:pPr>
        <w:spacing w:after="120"/>
        <w:ind w:firstLine="709"/>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государственных инвестиций в 2019 и 2020 году составило 17 003,5 млн сомов (для сравнения в 2018</w:t>
      </w:r>
      <w:r>
        <w:rPr>
          <w:rFonts w:ascii="Arial" w:cs="Arial" w:eastAsia="Arial" w:hAnsi="Arial"/>
          <w:sz w:val="24"/>
          <w:szCs w:val="24"/>
        </w:rPr>
        <w:t xml:space="preserve">–</w:t>
      </w:r>
      <w:r>
        <w:rPr>
          <w:rFonts w:ascii="Arial" w:cs="Arial" w:eastAsia="Arial" w:hAnsi="Arial"/>
          <w:sz w:val="24"/>
          <w:szCs w:val="24"/>
        </w:rPr>
        <w:t xml:space="preserve">2019 годах. – 16 570,1 млн сомов).</w:t>
      </w:r>
    </w:p>
    <w:p>
      <w:pPr>
        <w:spacing w:after="120"/>
        <w:ind w:firstLine="709"/>
        <w:jc w:val="both"/>
      </w:pPr>
      <w:r>
        <w:rPr>
          <w:rFonts w:ascii="Arial" w:cs="Arial" w:eastAsia="Arial" w:hAnsi="Arial"/>
          <w:sz w:val="24"/>
          <w:szCs w:val="24"/>
        </w:rPr>
        <w:t xml:space="preserve">Основными источниками внешнего финансирования </w:t>
      </w:r>
      <w:r>
        <w:rPr>
          <w:rFonts w:ascii="Arial" w:cs="Arial" w:eastAsia="Arial" w:hAnsi="Arial"/>
          <w:sz w:val="24"/>
          <w:szCs w:val="24"/>
        </w:rPr>
        <w:t xml:space="preserve">государственных инвестиций </w:t>
      </w:r>
      <w:r>
        <w:rPr>
          <w:rFonts w:ascii="Arial" w:cs="Arial" w:eastAsia="Arial" w:hAnsi="Arial"/>
          <w:sz w:val="24"/>
          <w:szCs w:val="24"/>
        </w:rPr>
        <w:t xml:space="preserve">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w:t>
      </w:r>
      <w:r>
        <w:rPr>
          <w:rFonts w:ascii="Arial" w:cs="Arial" w:eastAsia="Arial" w:hAnsi="Arial"/>
          <w:sz w:val="24"/>
          <w:szCs w:val="24"/>
        </w:rPr>
        <w:t xml:space="preserve">п</w:t>
      </w:r>
      <w:r>
        <w:rPr>
          <w:rFonts w:ascii="Arial" w:cs="Arial" w:eastAsia="Arial" w:hAnsi="Arial"/>
          <w:sz w:val="24"/>
          <w:szCs w:val="24"/>
        </w:rPr>
        <w:t xml:space="preserve">равительствами Федеративной Республики Германи</w:t>
      </w:r>
      <w:r>
        <w:rPr>
          <w:rFonts w:ascii="Arial" w:cs="Arial" w:eastAsia="Arial" w:hAnsi="Arial"/>
          <w:sz w:val="24"/>
          <w:szCs w:val="24"/>
        </w:rPr>
        <w:t xml:space="preserve">я</w:t>
      </w:r>
      <w:r>
        <w:rPr>
          <w:rFonts w:ascii="Arial" w:cs="Arial" w:eastAsia="Arial" w:hAnsi="Arial"/>
          <w:sz w:val="24"/>
          <w:szCs w:val="24"/>
        </w:rPr>
        <w:t xml:space="preserve"> и Китайской Народной Республики.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Показатели </w:t>
      </w:r>
      <w:r>
        <w:rPr>
          <w:rFonts w:ascii="Arial" w:cs="Arial" w:eastAsia="Arial" w:hAnsi="Arial"/>
          <w:b/>
          <w:bCs/>
          <w:sz w:val="24"/>
          <w:szCs w:val="24"/>
        </w:rPr>
        <w:t xml:space="preserve">б</w:t>
      </w:r>
      <w:r>
        <w:rPr>
          <w:rFonts w:ascii="Arial" w:cs="Arial" w:eastAsia="Arial" w:hAnsi="Arial"/>
          <w:b/>
          <w:bCs/>
          <w:sz w:val="24"/>
          <w:szCs w:val="24"/>
        </w:rPr>
        <w:t xml:space="preserve">юджета государственных инвестиций на 2021 год</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2021 году сумма бюджетного финансирования государственных инвестиций из всех источников составит </w:t>
      </w:r>
      <w:r>
        <w:rPr>
          <w:rFonts w:ascii="Arial" w:cs="Arial" w:eastAsia="Arial" w:hAnsi="Arial"/>
          <w:sz w:val="24"/>
          <w:szCs w:val="24"/>
        </w:rPr>
        <w:t xml:space="preserve">38 683,3 млн сомов. При этом доля внешнего финансирования за счет займов и грантов составит 36 961,2 млн сомов или 95,5 % общей суммы финансирования, на софинансирование проектов будет использовано 1 722,1 млн сомов или 4,5 % общей суммы финансирования. </w:t>
      </w:r>
    </w:p>
    <w:p>
      <w:pPr>
        <w:spacing w:after="120"/>
        <w:ind w:firstLine="709"/>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водоснабжение, инфраструктура) и составят </w:t>
      </w:r>
      <w:r>
        <w:rPr>
          <w:rFonts w:ascii="Arial" w:cs="Arial" w:eastAsia="Arial" w:hAnsi="Arial"/>
          <w:sz w:val="24"/>
          <w:szCs w:val="24"/>
        </w:rPr>
        <w:t xml:space="preserve">26 882,9 млн сом</w:t>
      </w:r>
      <w:r>
        <w:rPr>
          <w:rFonts w:ascii="Arial" w:cs="Arial" w:eastAsia="Arial" w:hAnsi="Arial"/>
          <w:sz w:val="24"/>
          <w:szCs w:val="24"/>
        </w:rPr>
        <w:t xml:space="preserve">ов </w:t>
      </w:r>
      <w:r>
        <w:rPr>
          <w:rFonts w:ascii="Arial" w:cs="Arial" w:eastAsia="Arial" w:hAnsi="Arial"/>
          <w:sz w:val="24"/>
          <w:szCs w:val="24"/>
        </w:rPr>
        <w:t xml:space="preserve">или 72,7 % общих расходов. </w:t>
      </w:r>
      <w:r>
        <w:rPr>
          <w:rFonts w:ascii="Arial" w:cs="Arial" w:eastAsia="Arial" w:hAnsi="Arial"/>
          <w:sz w:val="24"/>
          <w:szCs w:val="24"/>
        </w:rPr>
        <w:t xml:space="preserve">В социальный сектор будет направлено </w:t>
      </w:r>
      <w:r>
        <w:rPr>
          <w:rFonts w:ascii="Arial" w:cs="Arial" w:eastAsia="Arial" w:hAnsi="Arial"/>
          <w:sz w:val="24"/>
          <w:szCs w:val="24"/>
        </w:rPr>
        <w:t xml:space="preserve">4 464,4 млн сомов или 12,1 %, </w:t>
      </w:r>
      <w:r>
        <w:rPr>
          <w:rFonts w:ascii="Arial" w:cs="Arial" w:eastAsia="Arial" w:hAnsi="Arial"/>
          <w:sz w:val="24"/>
          <w:szCs w:val="24"/>
        </w:rPr>
        <w:t xml:space="preserve">из которых Министерству образования и науки Кыргызской Республики ожидается </w:t>
      </w:r>
      <w:r>
        <w:rPr>
          <w:rFonts w:ascii="Arial" w:cs="Arial" w:eastAsia="Arial" w:hAnsi="Arial"/>
          <w:sz w:val="24"/>
          <w:szCs w:val="24"/>
        </w:rPr>
        <w:t xml:space="preserve">425,0 млн сомов; Министерству здравоохранения и социального развития </w:t>
      </w:r>
      <w:r>
        <w:rPr>
          <w:rFonts w:ascii="Arial" w:cs="Arial" w:eastAsia="Arial" w:hAnsi="Arial"/>
          <w:sz w:val="24"/>
          <w:szCs w:val="24"/>
        </w:rPr>
        <w:t xml:space="preserve">Кыргызской Республики </w:t>
      </w:r>
      <w:r>
        <w:rPr>
          <w:rFonts w:ascii="Arial" w:cs="Arial" w:eastAsia="Arial" w:hAnsi="Arial"/>
          <w:b/>
          <w:bCs/>
          <w:sz w:val="24"/>
          <w:szCs w:val="24"/>
        </w:rPr>
        <w:t xml:space="preserve">– </w:t>
      </w:r>
      <w:r>
        <w:rPr>
          <w:rFonts w:ascii="Arial" w:cs="Arial" w:eastAsia="Arial" w:hAnsi="Arial"/>
          <w:sz w:val="24"/>
          <w:szCs w:val="24"/>
        </w:rPr>
        <w:t xml:space="preserve">4 039,4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Инвестиционная политика на 2022–2024 годы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w:t>
      </w:r>
      <w:r>
        <w:rPr>
          <w:rFonts w:ascii="Arial" w:cs="Arial" w:eastAsia="Arial" w:hAnsi="Arial"/>
          <w:b/>
          <w:bCs/>
          <w:sz w:val="24"/>
          <w:szCs w:val="24"/>
        </w:rPr>
        <w:t xml:space="preserve">–</w:t>
      </w:r>
      <w:r>
        <w:rPr>
          <w:rFonts w:ascii="Arial" w:cs="Arial" w:eastAsia="Arial" w:hAnsi="Arial"/>
          <w:sz w:val="24"/>
          <w:szCs w:val="24"/>
        </w:rPr>
        <w:t xml:space="preserve">2024 гг. важнейшими приоритетами государственных инвестиций</w:t>
      </w:r>
      <w:r>
        <w:rPr>
          <w:rFonts w:ascii="Arial" w:cs="Arial" w:eastAsia="Arial" w:hAnsi="Arial"/>
          <w:sz w:val="24"/>
          <w:szCs w:val="24"/>
        </w:rPr>
        <w:t xml:space="preserve">останутся развитие транспортной системы, энергетической инфраструктуры, водоснабжение, сельское хозяйство, поддержка экономики, здравоохранение и т.д.</w:t>
      </w:r>
    </w:p>
    <w:p>
      <w:pPr>
        <w:spacing w:after="120"/>
        <w:ind w:firstLine="709"/>
        <w:jc w:val="both"/>
      </w:pPr>
      <w:r>
        <w:rPr>
          <w:rFonts w:ascii="Arial" w:cs="Arial" w:eastAsia="Arial" w:hAnsi="Arial"/>
          <w:sz w:val="24"/>
          <w:szCs w:val="24"/>
        </w:rPr>
        <w:t xml:space="preserve">В период с 2022 по 2024 гг. общая сумма бюджетного финансирования государственных инвестиций из всех источников составит 121 096,7 млн сомов. При этом доля внешнего финансирования за счет займов и грантов составит 115 385,0 сомов (95,3 % общей суммы финансирования), на софинансирование проектов государственных инвестиций будет использовано 5 711,7 сома (4,7 %).</w:t>
      </w:r>
    </w:p>
    <w:p>
      <w:pPr>
        <w:spacing w:after="120"/>
        <w:ind w:firstLine="709"/>
        <w:jc w:val="both"/>
      </w:pPr>
      <w:r>
        <w:rPr>
          <w:rFonts w:ascii="Arial" w:cs="Arial" w:eastAsia="Arial" w:hAnsi="Arial"/>
          <w:sz w:val="24"/>
          <w:szCs w:val="24"/>
        </w:rPr>
        <w:t xml:space="preserve">В период 2022</w:t>
      </w:r>
      <w:r>
        <w:rPr>
          <w:rFonts w:ascii="Arial" w:cs="Arial" w:eastAsia="Arial" w:hAnsi="Arial"/>
          <w:b/>
          <w:bCs/>
          <w:sz w:val="24"/>
          <w:szCs w:val="24"/>
        </w:rPr>
        <w:t xml:space="preserve">–</w:t>
      </w:r>
      <w:r>
        <w:rPr>
          <w:rFonts w:ascii="Arial" w:cs="Arial" w:eastAsia="Arial" w:hAnsi="Arial"/>
          <w:sz w:val="24"/>
          <w:szCs w:val="24"/>
        </w:rPr>
        <w:t xml:space="preserve">2024 гг. доминирующую роль будет играть экономический блок, на который будет приходится</w:t>
      </w:r>
      <w:r>
        <w:rPr>
          <w:rFonts w:ascii="Arial" w:cs="Arial" w:eastAsia="Arial" w:hAnsi="Arial"/>
          <w:sz w:val="24"/>
          <w:szCs w:val="24"/>
        </w:rPr>
        <w:t xml:space="preserve"> 84,4 % общего финансирования (102 254,1 млн сомов). Необходимо отметить, что экономический блок включает такие направления, как сельское хозяйство, транспорт, энергетика, водоснабжение и социальная инфраструктура, поддержка экономики, куда направляются значительные объемы государственных инвестиций. </w:t>
      </w:r>
    </w:p>
    <w:p>
      <w:pPr>
        <w:spacing w:after="120"/>
        <w:ind w:firstLine="709"/>
        <w:jc w:val="both"/>
      </w:pPr>
      <w:r>
        <w:rPr>
          <w:rFonts w:ascii="Arial" w:cs="Arial" w:eastAsia="Arial" w:hAnsi="Arial"/>
          <w:sz w:val="24"/>
          <w:szCs w:val="24"/>
        </w:rPr>
        <w:t xml:space="preserve">На социальный сектор будет направлено 11 393,9 млн сомов или 9,4 % общего объема финансирования.</w:t>
      </w:r>
    </w:p>
    <w:p>
      <w:pPr>
        <w:spacing w:after="120"/>
        <w:ind w:firstLine="709"/>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всем жителям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6 487,2 млн сомов.</w:t>
      </w:r>
    </w:p>
    <w:p>
      <w:pPr>
        <w:spacing w:after="120"/>
        <w:ind w:firstLine="709"/>
        <w:jc w:val="both"/>
      </w:pPr>
      <w:r>
        <w:rPr>
          <w:rFonts w:ascii="Arial" w:cs="Arial" w:eastAsia="Arial" w:hAnsi="Arial"/>
          <w:sz w:val="24"/>
          <w:szCs w:val="24"/>
        </w:rPr>
        <w:t xml:space="preserve">Также</w:t>
      </w:r>
      <w:r>
        <w:rPr>
          <w:rFonts w:ascii="Arial" w:cs="Arial" w:eastAsia="Arial" w:hAnsi="Arial"/>
          <w:sz w:val="24"/>
          <w:szCs w:val="24"/>
        </w:rPr>
        <w:t xml:space="preserve">,</w:t>
      </w:r>
      <w:r>
        <w:rPr>
          <w:rFonts w:ascii="Arial" w:cs="Arial" w:eastAsia="Arial" w:hAnsi="Arial"/>
          <w:sz w:val="24"/>
          <w:szCs w:val="24"/>
        </w:rPr>
        <w:t xml:space="preserve"> финансирование направлено в сектор образования, общая сумма составляет 4 906,7 млн сомов. Проекты направлены на предоставление качественного дошкольного образования для бедных и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120"/>
        <w:ind w:firstLine="709"/>
        <w:jc w:val="both"/>
      </w:pPr>
      <w:r>
        <w:rPr>
          <w:rFonts w:ascii="Arial" w:cs="Arial" w:eastAsia="Arial" w:hAnsi="Arial"/>
          <w:sz w:val="24"/>
          <w:szCs w:val="24"/>
        </w:rPr>
        <w:t xml:space="preserve">В этот период сельское хозяйство, включая ирригацию, будет поддержано финансированием следующих проектов: «Развитие животноводства и рынка – II» (МФСР), «Повышение производительности в сельском хозяйстве и улучшение питания» (Глобальный фонд по сельскохозяйственной и продовольственной безопасности), Дополнительное финансирование проекта «Комплексное повышение производительности молочного сектора в Кыргызской Республик</w:t>
      </w:r>
      <w:r>
        <w:rPr>
          <w:rFonts w:ascii="Arial" w:cs="Arial" w:eastAsia="Arial" w:hAnsi="Arial"/>
          <w:sz w:val="24"/>
          <w:szCs w:val="24"/>
        </w:rPr>
        <w:t xml:space="preserve">е</w:t>
      </w:r>
      <w:r>
        <w:rPr>
          <w:rFonts w:ascii="Arial" w:cs="Arial" w:eastAsia="Arial" w:hAnsi="Arial"/>
          <w:sz w:val="24"/>
          <w:szCs w:val="24"/>
        </w:rPr>
        <w:t xml:space="preserve">» (ВБ), «Развитие ирригационной системы Сарымсак в Кыргызской Республике» (ИБР), Проект «Обеспечени</w:t>
      </w:r>
      <w:r>
        <w:rPr>
          <w:rFonts w:ascii="Arial" w:cs="Arial" w:eastAsia="Arial" w:hAnsi="Arial"/>
          <w:sz w:val="24"/>
          <w:szCs w:val="24"/>
        </w:rPr>
        <w:t xml:space="preserve">е</w:t>
      </w:r>
      <w:r>
        <w:rPr>
          <w:rFonts w:ascii="Arial" w:cs="Arial" w:eastAsia="Arial" w:hAnsi="Arial"/>
          <w:sz w:val="24"/>
          <w:szCs w:val="24"/>
        </w:rPr>
        <w:t xml:space="preserve"> доступа к рынкам» (МФСР) и других, на инвестирование которых будет направлено 8 573,9 млн сомов.</w:t>
      </w:r>
    </w:p>
    <w:p>
      <w:pPr>
        <w:spacing w:after="120"/>
        <w:ind w:firstLine="709"/>
        <w:jc w:val="both"/>
      </w:pPr>
      <w:r>
        <w:rPr>
          <w:rFonts w:ascii="Arial" w:cs="Arial" w:eastAsia="Arial" w:hAnsi="Arial"/>
          <w:sz w:val="24"/>
          <w:szCs w:val="24"/>
        </w:rPr>
        <w:t xml:space="preserve">В этот период будет реализовываться ряд крупных проектов в секторе транспорта на общую сумму 33 704,1 млн сомов. </w:t>
      </w:r>
    </w:p>
    <w:p>
      <w:pPr>
        <w:spacing w:after="120"/>
        <w:ind w:firstLine="709"/>
        <w:jc w:val="both"/>
      </w:pPr>
      <w:r>
        <w:rPr>
          <w:rFonts w:ascii="Arial" w:cs="Arial" w:eastAsia="Arial" w:hAnsi="Arial"/>
          <w:sz w:val="24"/>
          <w:szCs w:val="24"/>
        </w:rPr>
        <w:t xml:space="preserve">Значительные расходы приходятся также на энергетический сектор – 29 292,6 млн сомов. </w:t>
      </w:r>
    </w:p>
    <w:p>
      <w:pPr>
        <w:spacing w:after="120"/>
        <w:ind w:firstLine="709"/>
        <w:jc w:val="both"/>
      </w:pPr>
      <w:r>
        <w:rPr>
          <w:rFonts w:ascii="Arial" w:cs="Arial" w:eastAsia="Arial" w:hAnsi="Arial"/>
          <w:sz w:val="24"/>
          <w:szCs w:val="24"/>
        </w:rPr>
        <w:t xml:space="preserve">По Государственному агентству архитектуры, строительства и жилищно-коммунального хозяйства при Кабинете Министров Кыргызской Республики также предусматривается значительный объем финансирования на общую сумму 17 604,6 млн сомов. </w:t>
      </w:r>
    </w:p>
    <w:p>
      <w:pPr>
        <w:spacing w:after="120"/>
        <w:ind w:firstLine="709"/>
        <w:jc w:val="both"/>
      </w:pPr>
      <w:r>
        <w:rPr>
          <w:rFonts w:ascii="Arial" w:cs="Arial" w:eastAsia="Arial" w:hAnsi="Arial"/>
          <w:sz w:val="24"/>
          <w:szCs w:val="24"/>
        </w:rPr>
        <w:t xml:space="preserve">Министерством экономики и финансов Кыргызской Республики будут реализовываться проекты на поддержку экономики на общую сумму 13 571,8 млн сомов.</w:t>
      </w:r>
    </w:p>
    <w:p>
      <w:pPr>
        <w:spacing w:after="120"/>
        <w:ind w:firstLine="709"/>
        <w:jc w:val="both"/>
      </w:pPr>
      <w:r>
        <w:rPr>
          <w:rFonts w:ascii="Arial" w:cs="Arial" w:eastAsia="Arial" w:hAnsi="Arial"/>
          <w:b/>
          <w:bCs/>
          <w:sz w:val="24"/>
          <w:szCs w:val="24"/>
        </w:rPr>
        <w:t xml:space="preserve">Министерством чрезвычайных ситуаций Кыргызской Республики будут реализовываться проекты: «Повышение устойчивости к рискам стихийных бедствий в Кыргызстане» (ВБ), «Дополнительное финансирование проекта «Повышение устойчивости к рискам стихийных бедствий в Кыргызстане» (ВБ), «Повышение устойчивости водных ресурсов к изменению климата и стихийным бедствиям» (АБР) на общую сумму 3 910,9 млн сомов.</w:t>
      </w:r>
    </w:p>
    <w:p>
      <w:pPr>
        <w:spacing w:after="120"/>
        <w:ind w:firstLine="709"/>
        <w:jc w:val="both"/>
      </w:pPr>
      <w:r>
        <w:rPr>
          <w:rFonts w:ascii="Arial" w:cs="Arial" w:eastAsia="Arial" w:hAnsi="Arial"/>
          <w:b/>
          <w:bCs/>
          <w:sz w:val="24"/>
          <w:szCs w:val="24"/>
        </w:rPr>
        <w:t xml:space="preserve">Государственное агентство лесного хозяйства при Министерстве сельского, водного хозяйства и развития регионов Кыргызской Республики продолжит реализацию проекта «Интегрированное управление лесными экосистемами Кыргызской Республики» (ВБ) на общую </w:t>
      </w:r>
      <w:r>
        <w:rPr>
          <w:rFonts w:ascii="Arial" w:cs="Arial" w:eastAsia="Arial" w:hAnsi="Arial"/>
          <w:b/>
          <w:bCs/>
          <w:sz w:val="24"/>
          <w:szCs w:val="24"/>
        </w:rPr>
        <w:t xml:space="preserve">сумму </w:t>
      </w:r>
      <w:r>
        <w:rPr>
          <w:rFonts w:ascii="Arial" w:cs="Arial" w:eastAsia="Arial" w:hAnsi="Arial"/>
          <w:b/>
          <w:bCs/>
          <w:sz w:val="24"/>
          <w:szCs w:val="24"/>
        </w:rPr>
        <w:t xml:space="preserve">268,5 </w:t>
      </w:r>
      <w:r>
        <w:rPr>
          <w:rFonts w:ascii="Arial" w:cs="Arial" w:eastAsia="Arial" w:hAnsi="Arial"/>
          <w:b/>
          <w:bCs/>
          <w:sz w:val="24"/>
          <w:szCs w:val="24"/>
        </w:rPr>
        <w:t xml:space="preserve">млн сомов. </w:t>
      </w:r>
      <w:r>
        <w:rPr>
          <w:rFonts w:ascii="Arial" w:cs="Arial" w:eastAsia="Arial" w:hAnsi="Arial"/>
          <w:b/>
          <w:bCs/>
          <w:sz w:val="24"/>
          <w:szCs w:val="24"/>
        </w:rPr>
        <w:t xml:space="preserve">Данный проект направлен на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120"/>
        <w:ind w:firstLine="709"/>
        <w:jc w:val="both"/>
      </w:pPr>
      <w:r>
        <w:rPr>
          <w:rFonts w:ascii="Arial" w:cs="Arial" w:eastAsia="Arial" w:hAnsi="Arial"/>
          <w:sz w:val="24"/>
          <w:szCs w:val="24"/>
        </w:rPr>
        <w:t xml:space="preserve">Новообразованный Государственный комитет по экологии и климату Кыргызской Республики продолжит реализацию проекта «Модернизация гидрометеорологического обслуживания в Центральной Азии, Дополнительное финансирование» (ВБ) на сумму 80,2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11</w:t>
      </w:r>
    </w:p>
    <w:p>
      <w:pPr>
        <w:spacing w:after="120"/>
        <w:jc w:val="both"/>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Внешнее финансирование (в млн сомах и %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9"/>
        <w:gridCol w:w="1386"/>
        <w:gridCol w:w="1386"/>
        <w:gridCol w:w="1386"/>
        <w:gridCol w:w="1240"/>
        <w:gridCol w:w="1370"/>
        <w:gridCol w:w="1240"/>
      </w:tblGrid>
      <w:tr>
        <w:tc>
          <w:tcPr>
            <w:tcW w:type="dxa" w:w="2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инвестиции</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(факт)</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(факт)</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(оцен.)</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(прогноз)</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(прогноз)</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5 272,6</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5 281,1</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11 772,7</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13 779,5</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13 242,6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8 425,9</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13 042,8</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10 410,4</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25 188,6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21 918,0</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31 301,9</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26 717,0</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18 315,4</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15 691,5</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36 961,2</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35 697,5</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44 544,6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35 142,9</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ВВП</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619 102,7</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598 344,5</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643 629,4</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713 744,7</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772 622,3</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840 207,6</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инвестиции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5,0 %</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4,2 %</w:t>
            </w:r>
          </w:p>
        </w:tc>
      </w:tr>
    </w:tbl>
    <w:p>
      <w:pPr>
        <w:spacing w:after="12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Механизмы предоставления внешнего финансирования </w:t>
      </w:r>
    </w:p>
    <w:p>
      <w:pPr>
        <w:spacing w:after="240" w:before="200"/>
        <w:jc w:val="center"/>
      </w:pPr>
      <w:r>
        <w:rPr>
          <w:rFonts w:ascii="Arial" w:cs="Arial" w:eastAsia="Arial" w:hAnsi="Arial"/>
          <w:b/>
          <w:bCs/>
          <w:sz w:val="32"/>
          <w:szCs w:val="32"/>
        </w:rPr>
        <w:t xml:space="preserve">(% от общего значения)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3"/>
        <w:gridCol w:w="1205"/>
        <w:gridCol w:w="1205"/>
        <w:gridCol w:w="1205"/>
        <w:gridCol w:w="1490"/>
        <w:gridCol w:w="1506"/>
        <w:gridCol w:w="1474"/>
      </w:tblGrid>
      <w:tr>
        <w:tc>
          <w:tcPr>
            <w:tcW w:type="dxa" w:w="20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инвестиции</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(факт)</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(факт)</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(оцен.)</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(прогноз)</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(прогноз)</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18 315,4</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15 691,5</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36 961,2</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35 697,5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44 544,6</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35 142,9</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 </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1 722,1</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2 081,4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2 220,1</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1 410,2</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19 119,4</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16 183,0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38 683,3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37 778,9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46 764,7</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36 553,2</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 </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Детальный прогноз внешнего финансирования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3"/>
        <w:gridCol w:w="1380"/>
        <w:gridCol w:w="1380"/>
        <w:gridCol w:w="1234"/>
        <w:gridCol w:w="1380"/>
        <w:gridCol w:w="1380"/>
        <w:gridCol w:w="1282"/>
      </w:tblGrid>
      <w:tr>
        <w:tc>
          <w:tcPr>
            <w:tcW w:type="dxa" w:w="2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Донор</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факт</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факт</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Утв.</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проект</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прогноз</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прогноз</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6 659,90</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1 057,74</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2 969,84</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3 088,67</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1 815,95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2 475,69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3 049,11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7 922,02</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6 637,81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9 838,86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6 542,93</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3 725,49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3 338,56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7 772,32</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9 857,07</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12 598,51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8 725,47</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АКГ (ИБР, СФР, КФАЭР, ФРАД)</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1 537,08</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3 227,65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5 749,66</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3 189,69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6 535,33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5 625,46</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552,72</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492,95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2 898,51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1 941,87</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1 471,59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1 650,56</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КфВ (</w:t>
            </w:r>
            <w:r>
              <w:rPr>
                <w:rFonts w:ascii="Arial" w:cs="Arial" w:eastAsia="Arial" w:hAnsi="Arial"/>
                <w:sz w:val="24"/>
                <w:szCs w:val="24"/>
              </w:rPr>
              <w:t xml:space="preserve">KfW</w:t>
            </w:r>
            <w:r>
              <w:rPr>
                <w:rFonts w:ascii="Arial" w:cs="Arial" w:eastAsia="Arial" w:hAnsi="Arial"/>
                <w:sz w:val="24"/>
                <w:szCs w:val="24"/>
              </w:rPr>
              <w:t xml:space="preserve">)</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460,76</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530,53</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1 391,59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1 223,96</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(Япония, МФСР, ЕАБР и др.)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2 903,78</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3 995,01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8 257,31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9 758,41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12 252,41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12 598,55</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18 315,43</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15 691,55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36 961,24</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35 697,48</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44 544,58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35 142,97</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 Управление государственным долгом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5.1. Анализ внешнего долга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Тенденции динамики внешнего долга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Наблюдается устойчивая тенденция роста объема государственного внешнего долга Кыргызской Республики в долларах США. При этом, согласно таблице 14, в 2024 году отмечается уменьшение размера государственного внешнего долга, что связано с погашением основной суммы обязательств по многим кредитам. Объем государственного внешнего долга в сомовом эквиваленте зависит от влияния на него обменного курса доллара США. Согласно макроэкономическим прогнозам, в последующие годы динамика роста обменного курса продолжится, что, соответственно, отразится и на объеме государственного внешнего долга, выраженного в сомах.</w:t>
      </w:r>
    </w:p>
    <w:p>
      <w:pPr>
        <w:spacing w:after="120"/>
        <w:ind w:firstLine="708"/>
        <w:jc w:val="both"/>
      </w:pPr>
      <w:r>
        <w:rPr>
          <w:rFonts w:ascii="Arial" w:cs="Arial" w:eastAsia="Arial" w:hAnsi="Arial"/>
          <w:sz w:val="24"/>
          <w:szCs w:val="24"/>
        </w:rPr>
        <w:t xml:space="preserve">Также отмечается тенденция роста расходов на обслуживание государственного внешнего долга, что связано с наступлением сроков погашения по основным суммам по многим ранее привлеченным займам. Так, если в 2018 году 69,1 % общей суммы расходов на обслуживание государственного внешнего долга было направлено на погашение основной суммы долга и 30,9 % на выплату сумм по начисленным процентам, то к 2024 году данное соотношение расходов составит порядка 85 % и 15 % соответственно.</w:t>
      </w:r>
    </w:p>
    <w:p>
      <w:pPr>
        <w:spacing w:after="120"/>
        <w:ind w:firstLine="708"/>
        <w:jc w:val="both"/>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14</w:t>
      </w:r>
    </w:p>
    <w:p>
      <w:pPr>
        <w:spacing w:after="240" w:before="200"/>
        <w:jc w:val="center"/>
      </w:pPr>
      <w:r>
        <w:rPr>
          <w:rFonts w:ascii="Arial" w:cs="Arial" w:eastAsia="Arial" w:hAnsi="Arial"/>
          <w:b/>
          <w:bCs/>
          <w:sz w:val="32"/>
          <w:szCs w:val="32"/>
        </w:rPr>
        <w:t xml:space="preserve">Тенденции изменения внешнего долга </w:t>
      </w:r>
    </w:p>
    <w:p>
      <w:pPr>
        <w:spacing w:after="240" w:before="200"/>
        <w:jc w:val="center"/>
      </w:pPr>
      <w:r>
        <w:rPr>
          <w:rFonts w:ascii="Arial" w:cs="Arial" w:eastAsia="Arial" w:hAnsi="Arial"/>
          <w:b/>
          <w:bCs/>
          <w:sz w:val="32"/>
          <w:szCs w:val="32"/>
        </w:rPr>
        <w:t xml:space="preserve">(в млн долларах США и млн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4"/>
        <w:gridCol w:w="1069"/>
        <w:gridCol w:w="1073"/>
        <w:gridCol w:w="1036"/>
        <w:gridCol w:w="1069"/>
        <w:gridCol w:w="1197"/>
        <w:gridCol w:w="1091"/>
        <w:gridCol w:w="620"/>
        <w:gridCol w:w="620"/>
      </w:tblGrid>
      <w:tr>
        <w:tc>
          <w:tcPr>
            <w:tcW w:type="dxa" w:w="240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факт</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факт</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утв.</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p>
            <w:pPr>
              <w:jc w:val="center"/>
            </w:pPr>
            <w:r>
              <w:rPr>
                <w:rFonts w:ascii="Arial" w:cs="Arial" w:eastAsia="Arial" w:hAnsi="Arial"/>
                <w:sz w:val="24"/>
                <w:szCs w:val="24"/>
              </w:rPr>
              <w:t xml:space="preserve">прогноз</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2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955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млн долл. США</w:t>
            </w:r>
          </w:p>
        </w:tc>
        <w:tc>
          <w:tcPr>
            <w:tcW w:type="dxa" w:w="62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3 825,6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3 850,7</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4 217,5</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4 330,3</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4 473,8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4 606,9</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4 540,6</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285,4</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309,7</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351,7</w:t>
            </w:r>
          </w:p>
        </w:tc>
      </w:tr>
      <w:tr>
        <w:tc>
          <w:tcPr>
            <w:tcW w:type="dxa" w:w="955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62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267 229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268 180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348 571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368 079</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395 480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418 304</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424 999</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10 478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13 103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33 751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25 826</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33 567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40 208</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26 717</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11 943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14 010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16 093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21 602</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26 682</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34 133</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38 848</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3 697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3 646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4 298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5 255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5 737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5 971</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5 892</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8 245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10 132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11 636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16 231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20 889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28 121</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32 921</w:t>
            </w:r>
          </w:p>
        </w:tc>
      </w:tr>
      <w:tr>
        <w:tc>
          <w:tcPr>
            <w:tcW w:type="dxa" w:w="24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Бюджет обслуживания государственного внешнего долга Кыргызской Республики на 2022 год и прогноз на 2023-2024 годы составлен с учетом проводимой Кабинетом Министров Кыргызской Республики работы, направленной на обеспечение строгой дисциплины привлечения и расходования иностранных займов, соизмеримой со следующими целевыми ориентирами:</w:t>
      </w:r>
    </w:p>
    <w:p>
      <w:pPr>
        <w:spacing w:after="120"/>
        <w:ind w:firstLine="709"/>
        <w:jc w:val="both"/>
      </w:pPr>
      <w:r>
        <w:rPr>
          <w:rFonts w:ascii="Arial" w:cs="Arial" w:eastAsia="Arial" w:hAnsi="Arial"/>
          <w:sz w:val="24"/>
          <w:szCs w:val="24"/>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120"/>
        <w:ind w:firstLine="709"/>
        <w:jc w:val="both"/>
      </w:pPr>
      <w:r>
        <w:rPr>
          <w:rFonts w:ascii="Arial" w:cs="Arial" w:eastAsia="Arial" w:hAnsi="Arial"/>
          <w:sz w:val="24"/>
          <w:szCs w:val="24"/>
        </w:rPr>
        <w:t xml:space="preserve">- сохранение 35 % минимального уровня льготности для новых внешних заимствований и запрет местным органам государственного управления на привлечение внешних займов без соответствующего разрешения Министерства экономики и финансов Кыргызской Республики;</w:t>
      </w:r>
    </w:p>
    <w:p>
      <w:pPr>
        <w:spacing w:after="120"/>
        <w:ind w:firstLine="709"/>
        <w:jc w:val="both"/>
      </w:pPr>
      <w:r>
        <w:rPr>
          <w:rFonts w:ascii="Arial" w:cs="Arial" w:eastAsia="Arial" w:hAnsi="Arial"/>
          <w:sz w:val="24"/>
          <w:szCs w:val="24"/>
        </w:rPr>
        <w:t xml:space="preserve">-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120"/>
        <w:ind w:firstLine="708"/>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120"/>
        <w:ind w:firstLine="709"/>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2020 года, которая составила 348,6 млрд сомов;</w:t>
      </w:r>
    </w:p>
    <w:p>
      <w:pPr>
        <w:spacing w:after="120"/>
        <w:ind w:firstLine="709"/>
        <w:jc w:val="both"/>
      </w:pPr>
      <w:r>
        <w:rPr>
          <w:rFonts w:ascii="Arial" w:cs="Arial" w:eastAsia="Arial" w:hAnsi="Arial"/>
          <w:sz w:val="24"/>
          <w:szCs w:val="24"/>
        </w:rPr>
        <w:t xml:space="preserve">- графики погашения действующих и запланированных займов;</w:t>
      </w:r>
    </w:p>
    <w:p>
      <w:pPr>
        <w:spacing w:after="120"/>
        <w:ind w:firstLine="709"/>
        <w:jc w:val="both"/>
      </w:pPr>
      <w:r>
        <w:rPr>
          <w:rFonts w:ascii="Arial" w:cs="Arial" w:eastAsia="Arial" w:hAnsi="Arial"/>
          <w:sz w:val="24"/>
          <w:szCs w:val="24"/>
        </w:rPr>
        <w:t xml:space="preserve">- прогноз освоения кредитных средств по действующим и запланированным внешним заимствованиям;</w:t>
      </w:r>
    </w:p>
    <w:p>
      <w:pPr>
        <w:spacing w:after="120"/>
        <w:ind w:firstLine="709"/>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по данным МВФ на базе фактически сложившихся курсов с ноября 2020 года по май 2021 года.</w:t>
      </w:r>
    </w:p>
    <w:p>
      <w:pPr>
        <w:spacing w:after="120"/>
        <w:ind w:firstLine="708"/>
        <w:jc w:val="both"/>
      </w:pPr>
      <w:r>
        <w:rPr>
          <w:rFonts w:ascii="Arial" w:cs="Arial" w:eastAsia="Arial" w:hAnsi="Arial"/>
          <w:sz w:val="24"/>
          <w:szCs w:val="24"/>
        </w:rPr>
        <w:t xml:space="preserve">По предварительным данным, показатели долговой устойчивости в прогнозном горизонте значительно улучшатся. Так, если в 2020 году соотношение объема государственного внешнего долга и ВВП достигло 58,3 %, то начиная с 2021 года данный показатель будет улучшаться, что связано с замедлением роста объема внешнего долга и динамикой роста ВВП, и к концу 2024 года составит 50,6 %. Показатель внешнего долга к экспорту товаров и услуг также в тенденции изменения к лучшему. По прогнозным данным, к концу 2024 года данный показатель составит 158,5 % или сократится на 25 процентных пункта в сравнении с 2021 годом. При этом по показателю обслуживания государственного внешнего долга к экспорту товаров и услуг отмечается ежегодная тенденция роста, что связано с погашением обязательств по основной сумме долга. </w:t>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15</w:t>
      </w:r>
    </w:p>
    <w:p>
      <w:pPr>
        <w:spacing w:after="360" w:before="20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в % к ВВП и в % к экспорту товаров и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3"/>
        <w:gridCol w:w="1071"/>
        <w:gridCol w:w="1065"/>
        <w:gridCol w:w="932"/>
        <w:gridCol w:w="1069"/>
        <w:gridCol w:w="1087"/>
        <w:gridCol w:w="1181"/>
        <w:gridCol w:w="1220"/>
      </w:tblGrid>
      <w:tr>
        <w:tc>
          <w:tcPr>
            <w:tcW w:type="dxa" w:w="25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факт</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факт</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утв.</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p>
            <w:pPr>
              <w:jc w:val="center"/>
            </w:pPr>
            <w:r>
              <w:rPr>
                <w:rFonts w:ascii="Arial" w:cs="Arial" w:eastAsia="Arial" w:hAnsi="Arial"/>
                <w:sz w:val="24"/>
                <w:szCs w:val="24"/>
              </w:rPr>
              <w:t xml:space="preserve">прогноз</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экспорту товаров и услуг</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158,5</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5.2. </w:t>
      </w:r>
      <w:r>
        <w:rPr>
          <w:rFonts w:ascii="Arial" w:cs="Arial" w:eastAsia="Arial" w:hAnsi="Arial"/>
          <w:b/>
          <w:bCs/>
          <w:sz w:val="24"/>
          <w:szCs w:val="24"/>
        </w:rPr>
        <w:t xml:space="preserve">Оценка внутреннего долга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Тенденции динамики внутреннего долга </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2018 года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120"/>
        <w:ind w:firstLine="708"/>
        <w:jc w:val="both"/>
      </w:pPr>
      <w:r>
        <w:rPr>
          <w:rFonts w:ascii="Arial" w:cs="Arial" w:eastAsia="Arial" w:hAnsi="Arial"/>
          <w:sz w:val="24"/>
          <w:szCs w:val="24"/>
        </w:rPr>
        <w:t xml:space="preserve">Согласно таблице 16, в 2018–2020 годах расходы республиканского бюджета на обслуживание государственного внутреннего долга Кыргызской Республики составили: 2018 г. – 11 805 млн сомов, в 2019 г. – 14 112 млн сомов, в 2020 году – 14 596 млн сомов.</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16</w:t>
      </w:r>
    </w:p>
    <w:p>
      <w:pPr>
        <w:spacing w:after="360"/>
        <w:jc w:val="center"/>
      </w:pPr>
      <w:r>
        <w:rPr>
          <w:rFonts w:ascii="Arial" w:cs="Arial" w:eastAsia="Arial" w:hAnsi="Arial"/>
          <w:b/>
          <w:bCs/>
          <w:sz w:val="24"/>
          <w:szCs w:val="24"/>
        </w:rPr>
        <w:t xml:space="preserve">Тенденции изменения внутреннего долга (в млн</w:t>
      </w:r>
      <w:r>
        <w:rPr>
          <w:rFonts w:ascii="Arial" w:cs="Arial" w:eastAsia="Arial" w:hAnsi="Arial"/>
          <w:b/>
          <w:bCs/>
          <w:sz w:val="24"/>
          <w:szCs w:val="24"/>
        </w:rPr>
        <w:t xml:space="preserve">сомов и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0"/>
        <w:gridCol w:w="952"/>
        <w:gridCol w:w="1060"/>
        <w:gridCol w:w="1093"/>
        <w:gridCol w:w="1040"/>
        <w:gridCol w:w="1093"/>
        <w:gridCol w:w="1215"/>
        <w:gridCol w:w="1166"/>
      </w:tblGrid>
      <w:tr>
        <w:tc>
          <w:tcPr>
            <w:tcW w:type="dxa" w:w="25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факт</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факт</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утв.</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p>
            <w:pPr>
              <w:jc w:val="center"/>
            </w:pPr>
            <w:r>
              <w:rPr>
                <w:rFonts w:ascii="Arial" w:cs="Arial" w:eastAsia="Arial" w:hAnsi="Arial"/>
                <w:sz w:val="24"/>
                <w:szCs w:val="24"/>
              </w:rPr>
              <w:t xml:space="preserve">прогноз</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внутреннего долга </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44 606</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51 295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58 546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64 394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75 834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88 246</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97 180</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Поступления займов</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18 348</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14 892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14 042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15 400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14 000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14 000</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14 000</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11 805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14 112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14 596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15 664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12 727</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13 477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18 801</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3 386</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4 033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4 057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4 534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5 552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6 398</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7 241</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основная сумма</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8 419</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10 079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10 539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11 130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7 176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7 080</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11 560</w:t>
            </w:r>
          </w:p>
        </w:tc>
      </w:tr>
      <w:tr>
        <w:tc>
          <w:tcPr>
            <w:tcW w:type="dxa" w:w="1017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внутреннего долга </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11,6 %</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Поступления займов</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основная сумма</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2022–2024 гг.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2022 г. – 14 000 млн сомов, 2023 г. – 14 000 млн сомов, 2024 г. – 14 000 млн с сомов. Структура выпуска и размещения ГЦБ в 2022–2024 годы пересмотрена в сторону увеличения долгосрочных ценных бумаг </w:t>
      </w:r>
    </w:p>
    <w:p>
      <w:pPr>
        <w:spacing w:after="120"/>
        <w:ind w:firstLine="709"/>
        <w:jc w:val="both"/>
      </w:pPr>
      <w:r>
        <w:rPr>
          <w:rFonts w:ascii="Arial" w:cs="Arial" w:eastAsia="Arial" w:hAnsi="Arial"/>
          <w:sz w:val="24"/>
          <w:szCs w:val="24"/>
        </w:rPr>
        <w:t xml:space="preserve">Повышение объемов долгосрочных ГЦБ связано с целью увеличения сроков обращения ГЦБ и привлечением более длинных денежных средств. </w:t>
      </w:r>
    </w:p>
    <w:p>
      <w:pPr>
        <w:spacing w:after="120"/>
        <w:ind w:firstLine="709"/>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2022 г. – 12 727 млн сомов, в 2023 г. – 13 477 млн сомов, в 2024 г. – 18 801 млн сомов.</w:t>
      </w:r>
    </w:p>
    <w:p>
      <w:pPr>
        <w:spacing w:after="120"/>
        <w:ind w:firstLine="709"/>
        <w:jc w:val="both"/>
      </w:pPr>
      <w:r>
        <w:rPr>
          <w:rFonts w:ascii="Arial" w:cs="Arial" w:eastAsia="Arial" w:hAnsi="Arial"/>
          <w:sz w:val="24"/>
          <w:szCs w:val="24"/>
        </w:rPr>
        <w:t xml:space="preserve">Значительный объем расходов на выплату обязательств по основной сумме приходится на 2024 г., что связано с погашением обязательств по выпущенным ГКО со сроком обращения 7 лет.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Сравнительный анализ внешнего и внутреннего долга</w:t>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17</w:t>
      </w:r>
    </w:p>
    <w:p>
      <w:pPr>
        <w:spacing w:after="200"/>
        <w:jc w:val="center"/>
      </w:pPr>
      <w:r>
        <w:rPr>
          <w:rFonts w:ascii="Arial" w:cs="Arial" w:eastAsia="Arial" w:hAnsi="Arial"/>
          <w:sz w:val="24"/>
          <w:szCs w:val="24"/>
        </w:rPr>
        <w:t xml:space="preserve">Сравнительный анализ внешнего и внутреннего долга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8"/>
        <w:gridCol w:w="1075"/>
        <w:gridCol w:w="1071"/>
        <w:gridCol w:w="1065"/>
        <w:gridCol w:w="1054"/>
        <w:gridCol w:w="1093"/>
        <w:gridCol w:w="1054"/>
        <w:gridCol w:w="1048"/>
      </w:tblGrid>
      <w:tr>
        <w:tc>
          <w:tcPr>
            <w:tcW w:type="dxa" w:w="27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 в % к суммарным заимствованиям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 в % к суммарным заимствованиям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Суммарные заимствования (млн сомов)</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28 826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27 995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47 792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41 226</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47 567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54 208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40 717</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всего долга (млн сомов)</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311 835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319 475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407 117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432 473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471 313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506 550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522 180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таблице 17 наглядно отражено преобладание тенденции внешних заимствований в общем объеме заимствований в период 2020–2024 годов. Объем государственного внешнего долга составляет более 81,4 % от суммарного объема государственного долга. При этом, в среднесрочном периоде долговая политика будет направлена на увеличение заимствования на внутреннем рынке посредством развития рынка долгосрочных ГЦБ. Это позволит сократить удельный вес государственного долга в иностранной валюте до 81,5 %. </w:t>
      </w:r>
    </w:p>
    <w:p>
      <w:pPr>
        <w:spacing w:after="120"/>
        <w:ind w:firstLine="709"/>
        <w:jc w:val="both"/>
      </w:pPr>
      <w:r>
        <w:rPr>
          <w:rFonts w:ascii="Arial" w:cs="Arial" w:eastAsia="Arial" w:hAnsi="Arial"/>
          <w:sz w:val="24"/>
          <w:szCs w:val="24"/>
        </w:rPr>
        <w:t xml:space="preserve">В целях обеспечения эффективного управления государственным долгом действия Кабинета Министров Кыргызской Республики будут направлены на реализацию мероприятий, предусмотренных в Стратегии управления государственным долгом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 Межбюджетные отношения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6.1. </w:t>
      </w:r>
      <w:r>
        <w:rPr>
          <w:rFonts w:ascii="Arial" w:cs="Arial" w:eastAsia="Arial" w:hAnsi="Arial"/>
          <w:b/>
          <w:bCs/>
          <w:sz w:val="24"/>
          <w:szCs w:val="24"/>
        </w:rPr>
        <w:t xml:space="preserve">Реформы межбюджетных отношений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Основные задачи среднесрочной политики межбюджетных отношений:</w:t>
      </w:r>
    </w:p>
    <w:p>
      <w:pPr>
        <w:spacing w:after="120"/>
        <w:ind w:firstLine="709"/>
        <w:jc w:val="both"/>
      </w:pPr>
      <w:r>
        <w:rPr>
          <w:rFonts w:ascii="Arial" w:cs="Arial" w:eastAsia="Arial" w:hAnsi="Arial"/>
          <w:sz w:val="24"/>
          <w:szCs w:val="24"/>
        </w:rPr>
        <w:t xml:space="preserve">1) совершенствование эффективности правового регулирования разграничения полномочий между уровнями публичной власти и повышение эффективности системы делегирования полномочий; </w:t>
      </w:r>
    </w:p>
    <w:p>
      <w:pPr>
        <w:spacing w:after="120"/>
        <w:ind w:firstLine="709"/>
        <w:jc w:val="both"/>
      </w:pPr>
      <w:r>
        <w:rPr>
          <w:rFonts w:ascii="Arial" w:cs="Arial" w:eastAsia="Arial" w:hAnsi="Arial"/>
          <w:sz w:val="24"/>
          <w:szCs w:val="24"/>
        </w:rPr>
        <w:t xml:space="preserve">2) усиление вертикального и горизонтального взаимодействия государственных органов, органов местного самоуправления в межбюджетных отношениях;</w:t>
      </w:r>
    </w:p>
    <w:p>
      <w:pPr>
        <w:spacing w:after="120"/>
        <w:ind w:firstLine="709"/>
        <w:jc w:val="both"/>
      </w:pPr>
      <w:r>
        <w:rPr>
          <w:rFonts w:ascii="Arial" w:cs="Arial" w:eastAsia="Arial" w:hAnsi="Arial"/>
          <w:sz w:val="24"/>
          <w:szCs w:val="24"/>
        </w:rPr>
        <w:t xml:space="preserve">3) создание необходимых условий для реализации административно-территориальной реформы в Кыргызской Республике;</w:t>
      </w:r>
    </w:p>
    <w:p>
      <w:pPr>
        <w:spacing w:after="120"/>
        <w:ind w:firstLine="709"/>
        <w:jc w:val="both"/>
      </w:pPr>
      <w:r>
        <w:rPr>
          <w:rFonts w:ascii="Arial" w:cs="Arial" w:eastAsia="Arial" w:hAnsi="Arial"/>
          <w:sz w:val="24"/>
          <w:szCs w:val="24"/>
        </w:rPr>
        <w:t xml:space="preserve">4) определение основных направлений по повышению доходного потенциала органов местного самоуправления;</w:t>
      </w:r>
    </w:p>
    <w:p>
      <w:pPr>
        <w:spacing w:after="120"/>
        <w:ind w:firstLine="709"/>
        <w:jc w:val="both"/>
      </w:pPr>
      <w:r>
        <w:rPr>
          <w:rFonts w:ascii="Arial" w:cs="Arial" w:eastAsia="Arial" w:hAnsi="Arial"/>
          <w:sz w:val="24"/>
          <w:szCs w:val="24"/>
        </w:rPr>
        <w:t xml:space="preserve">5) совершенствование механизмов финансирования государственных программ на местном уровне посредством республиканского и местного бюджетов;</w:t>
      </w:r>
    </w:p>
    <w:p>
      <w:pPr>
        <w:spacing w:after="120"/>
        <w:ind w:firstLine="709"/>
        <w:jc w:val="both"/>
      </w:pPr>
      <w:r>
        <w:rPr>
          <w:rFonts w:ascii="Arial" w:cs="Arial" w:eastAsia="Arial" w:hAnsi="Arial"/>
          <w:sz w:val="24"/>
          <w:szCs w:val="24"/>
        </w:rPr>
        <w:t xml:space="preserve">6) совершенствование трансфертной политики, основанной на формировании стимулов для органов местного самоуправления в целях повышения собственных доходов, повышения автономии органов местного самоуправления путем оптимизации расходов, стремлении к самодостаточности по формированию и исполнению местных бюджетов;</w:t>
      </w:r>
    </w:p>
    <w:p>
      <w:pPr>
        <w:spacing w:after="120"/>
        <w:ind w:firstLine="709"/>
        <w:jc w:val="both"/>
      </w:pPr>
      <w:r>
        <w:rPr>
          <w:rFonts w:ascii="Arial" w:cs="Arial" w:eastAsia="Arial" w:hAnsi="Arial"/>
          <w:sz w:val="24"/>
          <w:szCs w:val="24"/>
        </w:rPr>
        <w:t xml:space="preserve">7) разработка новой концепции межбюджетных отношений.</w:t>
      </w:r>
    </w:p>
    <w:p>
      <w:pPr>
        <w:spacing w:after="120"/>
        <w:ind w:firstLine="708"/>
        <w:jc w:val="both"/>
      </w:pPr>
      <w:r>
        <w:rPr>
          <w:rFonts w:ascii="Arial" w:cs="Arial" w:eastAsia="Arial" w:hAnsi="Arial"/>
          <w:sz w:val="24"/>
          <w:szCs w:val="24"/>
        </w:rPr>
        <w:t xml:space="preserve">Дальнейшее развитие межбюджетных отношений является одним из приоритетных направлений в системе реформ государственных финансов на среднесрочный период, в части регулирования бюджетных правоотношений между государственными органами, органами местного самоуправления, а также организации и осуществления бюджетного процесса.</w:t>
      </w:r>
    </w:p>
    <w:p>
      <w:pPr>
        <w:spacing w:after="120"/>
        <w:ind w:firstLine="708"/>
        <w:jc w:val="both"/>
      </w:pPr>
      <w:r>
        <w:rPr>
          <w:rFonts w:ascii="Arial" w:cs="Arial" w:eastAsia="Arial" w:hAnsi="Arial"/>
          <w:sz w:val="24"/>
          <w:szCs w:val="24"/>
        </w:rPr>
        <w:t xml:space="preserve">В 2022 году в пользу местных бюджетов сохраняются нормативы отчисления от подоходного налога, уплачиваемого налоговым агентом, на уровне прошлого года в размере 100 %.</w:t>
      </w:r>
    </w:p>
    <w:p>
      <w:pPr>
        <w:spacing w:after="120"/>
        <w:ind w:firstLine="708"/>
        <w:jc w:val="both"/>
      </w:pPr>
      <w:r>
        <w:rPr>
          <w:rFonts w:ascii="Arial" w:cs="Arial" w:eastAsia="Arial" w:hAnsi="Arial"/>
          <w:sz w:val="24"/>
          <w:szCs w:val="24"/>
        </w:rPr>
        <w:t xml:space="preserve">Кроме того, в целях усиления органов местного самоуправления с 2022 года планируются реформы по внедрению трехуровневой бюджетной структуры. </w:t>
      </w:r>
    </w:p>
    <w:p>
      <w:pPr>
        <w:spacing w:after="120"/>
        <w:ind w:firstLine="708"/>
        <w:jc w:val="both"/>
      </w:pPr>
      <w:r>
        <w:rPr>
          <w:rFonts w:ascii="Arial" w:cs="Arial" w:eastAsia="Arial" w:hAnsi="Arial"/>
          <w:sz w:val="24"/>
          <w:szCs w:val="24"/>
        </w:rPr>
        <w:t xml:space="preserve">В прогнозе на 2023–2024 гг. нормативы отчислений по подоходному налогу, уплачиваемому налоговым агентом, в пользу местных бюджетов устанавливаются в размере 100 %.</w:t>
      </w:r>
    </w:p>
    <w:p>
      <w:pPr>
        <w:spacing w:after="120"/>
        <w:ind w:firstLine="708"/>
        <w:jc w:val="both"/>
      </w:pPr>
      <w:r>
        <w:rPr>
          <w:rFonts w:ascii="Arial" w:cs="Arial" w:eastAsia="Arial" w:hAnsi="Arial"/>
          <w:sz w:val="24"/>
          <w:szCs w:val="24"/>
        </w:rPr>
        <w:t xml:space="preserve">Нормативы отчислений от налога с продаж в 2022–2024 гг. устанавливаются в размере 100 % в пользу республиканского бюджета.</w:t>
      </w:r>
    </w:p>
    <w:p>
      <w:pPr>
        <w:spacing w:after="120"/>
        <w:ind w:firstLine="708"/>
        <w:jc w:val="both"/>
      </w:pPr>
      <w:r>
        <w:rPr>
          <w:rFonts w:ascii="Arial" w:cs="Arial" w:eastAsia="Arial" w:hAnsi="Arial"/>
          <w:sz w:val="24"/>
          <w:szCs w:val="24"/>
        </w:rPr>
        <w:t xml:space="preserve">В среднесрочной перспективе объемы местных бюджетов составят в 2022 году 24 773,8 млн сомов, в 2023 году – 25 297,6 млн сомов, в 2024 году – 25 806,5 млн сомов.</w:t>
      </w:r>
    </w:p>
    <w:p>
      <w:pPr>
        <w:spacing w:after="120"/>
        <w:ind w:firstLine="708"/>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коммунальные услуги и приобретение угля.</w:t>
      </w:r>
    </w:p>
    <w:p>
      <w:pPr>
        <w:spacing w:after="120"/>
        <w:ind w:firstLine="708"/>
        <w:jc w:val="both"/>
      </w:pPr>
      <w:r>
        <w:rPr>
          <w:rFonts w:ascii="Arial" w:cs="Arial" w:eastAsia="Arial" w:hAnsi="Arial"/>
          <w:sz w:val="24"/>
          <w:szCs w:val="24"/>
        </w:rPr>
        <w:t xml:space="preserve">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120"/>
        <w:ind w:firstLine="709"/>
        <w:jc w:val="both"/>
      </w:pPr>
      <w:r>
        <w:rPr>
          <w:rFonts w:ascii="Arial" w:cs="Arial" w:eastAsia="Arial" w:hAnsi="Arial"/>
          <w:sz w:val="24"/>
          <w:szCs w:val="24"/>
        </w:rPr>
        <w:t xml:space="preserve">Таким образом, в 2022 году выравнивающие трансферты составят в сумме 2 100,0 млн сомов, в 2023 году – 2 200,0 млн сомов, к 2024 году – 2 300,0 млн сомов</w:t>
      </w:r>
    </w:p>
    <w:p>
      <w:pPr>
        <w:spacing w:after="120"/>
        <w:ind w:firstLine="709"/>
        <w:jc w:val="both"/>
      </w:pPr>
      <w:r>
        <w:rPr>
          <w:rFonts w:ascii="Arial" w:cs="Arial" w:eastAsia="Arial" w:hAnsi="Arial"/>
          <w:sz w:val="24"/>
          <w:szCs w:val="24"/>
        </w:rPr>
        <w:t xml:space="preserve"/>
      </w:r>
    </w:p>
    <w:p>
      <w:pPr>
        <w:spacing w:after="240"/>
        <w:jc w:val="both"/>
      </w:pPr>
      <w:r>
        <w:rPr>
          <w:rFonts w:ascii="Arial" w:cs="Arial" w:eastAsia="Arial" w:hAnsi="Arial"/>
          <w:b/>
          <w:bCs/>
          <w:sz w:val="24"/>
          <w:szCs w:val="24"/>
        </w:rPr>
        <w:t xml:space="preserve">Список принятых сокращений</w:t>
      </w:r>
      <w:r>
        <w:rPr>
          <w:rFonts w:ascii="Arial" w:cs="Arial" w:eastAsia="Arial" w:hAnsi="Arial"/>
          <w:b/>
          <w:b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1"/>
        <w:gridCol w:w="7777"/>
      </w:tblGrid>
      <w:tr>
        <w:tc>
          <w:tcPr>
            <w:tcW w:type="dxa" w:w="24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ВБ</w:t>
            </w:r>
          </w:p>
        </w:tc>
        <w:tc>
          <w:tcPr>
            <w:tcW w:type="dxa" w:w="77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Всемирный банк</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ВВП</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Внутренний валовой продукт</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ВТО</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Всемирная торговая организация</w:t>
            </w:r>
          </w:p>
        </w:tc>
      </w:tr>
      <w:tr>
        <w:tc>
          <w:tcPr>
            <w:tcW w:type="dxa" w:w="2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 </w:t>
            </w:r>
          </w:p>
        </w:tc>
        <w:tc>
          <w:tcPr>
            <w:tcW w:type="dxa" w:w="7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облигации</w:t>
            </w:r>
          </w:p>
        </w:tc>
      </w:tr>
      <w:tr>
        <w:tc>
          <w:tcPr>
            <w:tcW w:type="dxa" w:w="2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ГЦБ </w:t>
            </w:r>
          </w:p>
        </w:tc>
        <w:tc>
          <w:tcPr>
            <w:tcW w:type="dxa" w:w="7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ГКНБ</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комитет национальной безопасности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обороны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ГСИН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исполнения наказаний при Министерстве юстиции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ГТС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таможенная служба при Министерстве экономики и финансов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ГСБЭП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по борьбе с экономическими преступлениями при Министерстве экономики и финансов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ЕАБР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Евразийский банк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ЕАИС</w:t>
            </w:r>
          </w:p>
        </w:tc>
        <w:tc>
          <w:tcPr>
            <w:tcW w:type="dxa" w:w="7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автоматизированная информационная система</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ЕАЭС</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Евразийский экономический союз</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ЕИБ</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Европейский инвестиционный банк</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ИБР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Исламский банк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ИФЦА</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Инвестиционный фонд для стран Центральной Азии (ЕС)</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ККМ</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контрольно-кассовая машина</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КНР</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Китайская Народная Республика</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КфВ (KfW)</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Немецкий банк развития (Kreditanstalt für Wiederaufbau)</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МВД</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внутренних дел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МОП</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обслуживающий персонал</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МФСР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Международный фонд сельскохозяйственного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США</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Соединенные Штаты Америки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СФ</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Социальный фонд при Министерстве здравоохранения и социального развития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СФР</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Саудовский фонд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СЭКО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секретариат Швейцарии по экономическим вопросам</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ТОП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обслуживающий персонал</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ФОМС</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обязательного медицинского страхования при Министерстве здравоохранения и социального развития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ЦАРЭС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Центральноазиатское региональное экономическое сотрудничество</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COVID-19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Коронавирусная инфекция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JICA</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Японское агентство международного сотрудничества</w:t>
            </w:r>
          </w:p>
        </w:tc>
      </w:tr>
    </w:tbl>
    <w:p>
      <w:pPr>
        <w:spacing w:after="480"/>
        <w:jc w:val="center"/>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1</w:t>
      </w:r>
    </w:p>
    <w:p>
      <w:pPr>
        <w:spacing w:after="120"/>
        <w:jc w:val="right"/>
      </w:pPr>
      <w:r>
        <w:rPr>
          <w:rFonts w:ascii="Arial" w:cs="Arial" w:eastAsia="Arial" w:hAnsi="Arial"/>
          <w:sz w:val="24"/>
          <w:szCs w:val="24"/>
        </w:rPr>
        <w:t xml:space="preserve">к Основным направлениям фискальной политики на 2022–2024 годы</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Структура производства и темпы роста реального ВВП, 2019</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4"/>
        <w:gridCol w:w="1114"/>
        <w:gridCol w:w="1136"/>
        <w:gridCol w:w="1114"/>
        <w:gridCol w:w="1018"/>
        <w:gridCol w:w="1093"/>
        <w:gridCol w:w="595"/>
        <w:gridCol w:w="595"/>
      </w:tblGrid>
      <w:tr>
        <w:tc>
          <w:tcPr>
            <w:tcW w:type="dxa" w:w="35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p>
            <w:pPr>
              <w:jc w:val="center"/>
            </w:pPr>
            <w:r>
              <w:rPr>
                <w:rFonts w:ascii="Arial" w:cs="Arial" w:eastAsia="Arial" w:hAnsi="Arial"/>
                <w:b/>
                <w:bCs/>
                <w:sz w:val="24"/>
                <w:szCs w:val="24"/>
              </w:rPr>
              <w:t xml:space="preserve">ожид.</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p>
            <w:pPr>
              <w:jc w:val="center"/>
            </w:pPr>
            <w:r>
              <w:rPr>
                <w:rFonts w:ascii="Arial" w:cs="Arial" w:eastAsia="Arial" w:hAnsi="Arial"/>
                <w:b/>
                <w:bCs/>
                <w:sz w:val="24"/>
                <w:szCs w:val="24"/>
              </w:rPr>
              <w:t xml:space="preserve">прогноз</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p>
            <w:pPr>
              <w:jc w:val="center"/>
            </w:pPr>
            <w:r>
              <w:rPr>
                <w:rFonts w:ascii="Arial" w:cs="Arial" w:eastAsia="Arial" w:hAnsi="Arial"/>
                <w:b/>
                <w:bCs/>
                <w:sz w:val="24"/>
                <w:szCs w:val="24"/>
              </w:rPr>
              <w:t xml:space="preserve">прогноз</w:t>
            </w:r>
          </w:p>
        </w:tc>
        <w:tc>
          <w:tcPr>
            <w:tcW w:type="dxa" w:w="11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p>
            <w:pPr>
              <w:jc w:val="center"/>
            </w:pPr>
            <w:r>
              <w:rPr>
                <w:rFonts w:ascii="Arial" w:cs="Arial" w:eastAsia="Arial" w:hAnsi="Arial"/>
                <w:b/>
                <w:bCs/>
                <w:sz w:val="24"/>
                <w:szCs w:val="24"/>
              </w:rPr>
              <w:t xml:space="preserve">прогноз</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в текущих ценах (млн сомов)</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619 102,7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598 344,5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643 629,4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713 744,7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772 622,3</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840 207,6</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по отраслям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 и импорт</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Темпы реального роста ВВП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без учета «Кумтора»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17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Темпы реального прироста выпуска валовой продукции по отраслям (%)</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hyperlink w:history="1" r:id="rIdtkrvgzyojgj5wewcjvl5d">
              <w:r>
                <w:rPr>
                  <w:rFonts w:ascii="Arial" w:cs="Arial" w:eastAsia="Arial" w:hAnsi="Arial"/>
                  <w:color w:val="1D4ED8"/>
                  <w:sz w:val="24"/>
                  <w:szCs w:val="24"/>
                  <w:u w:val="single"/>
                </w:rPr>
                <w:t xml:space="preserve">[1]</w:t>
              </w:r>
            </w:hyperlink>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3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2</w:t>
      </w:r>
    </w:p>
    <w:p>
      <w:pPr>
        <w:spacing w:after="120"/>
        <w:jc w:val="right"/>
      </w:pPr>
      <w:r>
        <w:rPr>
          <w:rFonts w:ascii="Arial" w:cs="Arial" w:eastAsia="Arial" w:hAnsi="Arial"/>
          <w:sz w:val="24"/>
          <w:szCs w:val="24"/>
        </w:rPr>
        <w:t xml:space="preserve">к Основным направлениям фискальной политики на 2022–2024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Социальные показатели на 2021–2024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2"/>
        <w:gridCol w:w="1429"/>
        <w:gridCol w:w="1224"/>
        <w:gridCol w:w="1224"/>
        <w:gridCol w:w="1310"/>
      </w:tblGrid>
      <w:tr>
        <w:tc>
          <w:tcPr>
            <w:tcW w:type="dxa" w:w="49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3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r>
      <w:tr>
        <w:tc>
          <w:tcPr>
            <w:vMerge w:val="continue"/>
            <w:tcBorders>
              <w:top w:val="single" w:color="CBBF9E" w:sz="4"/>
              <w:left w:val="single" w:color="CBBF9E" w:sz="4"/>
              <w:bottom w:val="single" w:color="CBBF9E" w:sz="4"/>
              <w:right w:val="single" w:color="CBBF9E" w:sz="4"/>
            </w:tcBorders>
          </w:tcP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ожид.</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6 464,2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6 606,4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6 751,7</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6 900,2</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населения)</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 США)</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1 156,3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1 221,7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1 260,0</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1 300,4</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2 474,5</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2 511,7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2 571,9</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2 631,1</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сомов)</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541,3</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589,6</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(сомов)</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18 940,7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19 434,2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20 276,2</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20 887,8</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3</w:t>
      </w:r>
    </w:p>
    <w:p>
      <w:pPr>
        <w:spacing w:after="120"/>
        <w:jc w:val="right"/>
      </w:pPr>
      <w:r>
        <w:rPr>
          <w:rFonts w:ascii="Arial" w:cs="Arial" w:eastAsia="Arial" w:hAnsi="Arial"/>
          <w:sz w:val="24"/>
          <w:szCs w:val="24"/>
        </w:rPr>
        <w:t xml:space="preserve">к Основным направлениям</w:t>
      </w:r>
    </w:p>
    <w:p>
      <w:pPr>
        <w:spacing w:after="120"/>
        <w:jc w:val="right"/>
      </w:pPr>
      <w:r>
        <w:rPr>
          <w:rFonts w:ascii="Arial" w:cs="Arial" w:eastAsia="Arial" w:hAnsi="Arial"/>
          <w:sz w:val="24"/>
          <w:szCs w:val="24"/>
        </w:rPr>
        <w:t xml:space="preserve">фискальной политики на 2022–2024 годы</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Риски по государственному долгу</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Погашение и обслуживание государственного внутреннего долга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Базовый сценарий расчета ОНФП на 2022–2024 года взятый за основу предполагает, что расходы Кабинета Министров Кыргызской Республики по погашению и обслуживанию государственного внутреннего долга будут составлять в 2022 году – 12 727,2 млн сомов, в 2023 году – 13 477,3 млн сомов, в 2024 году – 18 801,5 млн сомов.</w:t>
      </w:r>
    </w:p>
    <w:p>
      <w:pPr>
        <w:spacing w:after="120"/>
        <w:ind w:firstLine="709"/>
        <w:jc w:val="both"/>
      </w:pPr>
      <w:r>
        <w:rPr>
          <w:rFonts w:ascii="Arial" w:cs="Arial" w:eastAsia="Arial" w:hAnsi="Arial"/>
          <w:sz w:val="24"/>
          <w:szCs w:val="24"/>
        </w:rPr>
        <w:t xml:space="preserve">Альтернативный сценарий 1 предполагает, что в прогнозируемом периоде доходность увеличится на 1 %. Данное увеличение приведет к тому, что расходы Кабинета Министров Кыргызской Республики по погашению и обслуживанию внутренних долговых обязательств составят в 2022 году – 12 758,6 млн сомов, в 2023 году – 13 645,7 млн сомов, в 2024 году – 19 146,1 млн сомов.</w:t>
      </w:r>
    </w:p>
    <w:p>
      <w:pPr>
        <w:spacing w:after="120"/>
        <w:ind w:firstLine="709"/>
        <w:jc w:val="both"/>
      </w:pPr>
      <w:r>
        <w:rPr>
          <w:rFonts w:ascii="Arial" w:cs="Arial" w:eastAsia="Arial" w:hAnsi="Arial"/>
          <w:sz w:val="24"/>
          <w:szCs w:val="24"/>
        </w:rPr>
        <w:t xml:space="preserve">Альтернативный сценарий 2 предполагает, что в прогнозируемом периоде доходность увеличится на 5 % и в данном сценарии расходы Кабинета Министров Кыргызской Республики по погашению и обслуживанию государственного внутреннего долга будут составлять в 2022 году – 12 904,2 млн сомов, в 2023 году – 14 420,5 млн сомов, в 2024 году – 20 713,23 млн сомов.</w:t>
      </w:r>
    </w:p>
    <w:p>
      <w:pPr>
        <w:spacing w:after="12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Обслуживание государственного внутреннего долга </w:t>
      </w:r>
    </w:p>
    <w:p>
      <w:pPr>
        <w:spacing w:after="240" w:before="200"/>
        <w:jc w:val="center"/>
      </w:pPr>
      <w:r>
        <w:rPr>
          <w:rFonts w:ascii="Arial" w:cs="Arial" w:eastAsia="Arial" w:hAnsi="Arial"/>
          <w:b/>
          <w:bCs/>
          <w:sz w:val="32"/>
          <w:szCs w:val="32"/>
        </w:rPr>
        <w:t xml:space="preserve">Кыргызской Республики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1"/>
        <w:gridCol w:w="1996"/>
        <w:gridCol w:w="2013"/>
        <w:gridCol w:w="1538"/>
      </w:tblGrid>
      <w:tr>
        <w:tc>
          <w:tcPr>
            <w:tcW w:type="dxa" w:w="46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Сценарии</w:t>
            </w:r>
          </w:p>
        </w:tc>
        <w:tc>
          <w:tcPr>
            <w:tcW w:type="dxa" w:w="19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год</w:t>
            </w:r>
          </w:p>
        </w:tc>
        <w:tc>
          <w:tcPr>
            <w:tcW w:type="dxa" w:w="20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год</w:t>
            </w:r>
          </w:p>
        </w:tc>
        <w:tc>
          <w:tcPr>
            <w:tcW w:type="dxa" w:w="1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год</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сценарий</w:t>
            </w:r>
          </w:p>
        </w:tc>
        <w:tc>
          <w:tcPr>
            <w:tcW w:type="dxa" w:w="1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12 727,2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13 477,3</w:t>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18 801,5</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Альтернативный сценарий 1</w:t>
            </w:r>
          </w:p>
        </w:tc>
        <w:tc>
          <w:tcPr>
            <w:tcW w:type="dxa" w:w="1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12 758,6</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13 645,7</w:t>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19 146,1</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Альтернативный сценарий 2</w:t>
            </w:r>
          </w:p>
        </w:tc>
        <w:tc>
          <w:tcPr>
            <w:tcW w:type="dxa" w:w="1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12 904,2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14 420,5</w:t>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20 713,2</w:t>
            </w:r>
          </w:p>
        </w:tc>
      </w:tr>
    </w:tbl>
    <w:p>
      <w:pPr>
        <w:spacing w:after="12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lef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Рисунок 1</w:t>
      </w:r>
    </w:p>
    <w:p>
      <w:pPr>
        <w:spacing w:after="240" w:before="200"/>
        <w:jc w:val="center"/>
      </w:pPr>
      <w:r>
        <w:rPr>
          <w:rFonts w:ascii="Arial" w:cs="Arial" w:eastAsia="Arial" w:hAnsi="Arial"/>
          <w:b/>
          <w:bCs/>
          <w:sz w:val="32"/>
          <w:szCs w:val="32"/>
        </w:rPr>
        <w:t xml:space="preserve">Влияние на обслуживание государственного внутреннего долга Кыргызской Республики шока изменения доходности (млн сомов)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ind w:firstLine="708"/>
        <w:jc w:val="both"/>
      </w:pPr>
      <w:r>
        <w:rPr>
          <w:rFonts w:ascii="Arial" w:cs="Arial" w:eastAsia="Arial" w:hAnsi="Arial"/>
          <w:b/>
          <w:bCs/>
          <w:sz w:val="24"/>
          <w:szCs w:val="24"/>
        </w:rPr>
        <w:t xml:space="preserve">Погашение и обслуживание государственного внешнего долга</w:t>
      </w:r>
    </w:p>
    <w:p>
      <w:pPr>
        <w:spacing w:after="12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Рисунок 2</w:t>
      </w:r>
    </w:p>
    <w:p>
      <w:pPr>
        <w:spacing w:after="240" w:before="200"/>
        <w:jc w:val="center"/>
      </w:pPr>
      <w:r>
        <w:rPr>
          <w:rFonts w:ascii="Arial" w:cs="Arial" w:eastAsia="Arial" w:hAnsi="Arial"/>
          <w:b/>
          <w:bCs/>
          <w:sz w:val="32"/>
          <w:szCs w:val="32"/>
        </w:rPr>
        <w:t xml:space="preserve">Влияние шока обменного курса на обслуживание государственного внешнего долга Кыргызской Республики (млн сомов)</w:t>
      </w:r>
    </w:p>
    <w:p>
      <w:pPr>
        <w:spacing w:after="120"/>
        <w:jc w:val="both"/>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данных макроэкономических показателей был сформирован прогноз суммы, необходимой для погашения и обслуживания государственного внешнего долга Кыргызской Республики: на 2022 год – 26 623,9 млн сомов, на 2023 год – 34 105,0 млн сомов, на 2024 год – 38 820,1 млн сомов. Данные суммы легли в основу базового сценария. </w:t>
      </w:r>
    </w:p>
    <w:p>
      <w:pPr>
        <w:spacing w:after="120"/>
        <w:ind w:firstLine="709"/>
        <w:jc w:val="both"/>
      </w:pPr>
      <w:r>
        <w:rPr>
          <w:rFonts w:ascii="Arial" w:cs="Arial" w:eastAsia="Arial" w:hAnsi="Arial"/>
          <w:sz w:val="24"/>
          <w:szCs w:val="24"/>
        </w:rPr>
        <w:t xml:space="preserve">Альтернативный сценарий 1 был спроектирован на основе того, что в будущем периоде обменный курс превысил прогноз ровно на 1 сом. Согласно данному сценарию, теоретически возможное увеличение обменного курса всего на 1 сом привело к дополнительным расходам, необходимым для погашения и обслуживания государственного внешнего долга Кыргызской Республики на прогнозируемый период. Так, согласно альтернативному сценарию 1, расходы составят: на 2022 год – 26 925,1 млн сомов, на 2023 год – 34 480,7 млн сомов, на 2024 год – 39 234,8 млн сомов.</w:t>
      </w:r>
    </w:p>
    <w:p>
      <w:pPr>
        <w:spacing w:after="120"/>
        <w:ind w:firstLine="709"/>
        <w:jc w:val="both"/>
      </w:pPr>
      <w:r>
        <w:rPr>
          <w:rFonts w:ascii="Arial" w:cs="Arial" w:eastAsia="Arial" w:hAnsi="Arial"/>
          <w:sz w:val="24"/>
          <w:szCs w:val="24"/>
        </w:rPr>
        <w:t xml:space="preserve">Альтернативный сценарий 2 был спроектирован на основе того, что в будущем периоде обменный курс превысил прогноз на 5 сомов. Согласно данному сценарию, теоретически возможное увеличение обменного курса на 5 сомов привело к дополнительным расходам, необходимым для погашения и обслуживания государственного внешнего долга Кыргызской Республики на прогнозируемый период: на 2022 год – 28 129,8 млн сомов, на 2023 год – 35 983,1 млн сомов, на 2024 года – 40 893,8 млн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Риск снижения ВВП</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базового сценария был взят прогноз ВВП, согласно одобренному макроэкономическому сценарию этот показатель составил: для 2022 года – 713 744,7 млн сомов, для 2023 года – 772 622,3 млн сомов, для 2024 года – 840 207,6 млн сомов. Альтернативные сценарии представлены в приложении 3. </w:t>
      </w:r>
    </w:p>
    <w:p>
      <w:pPr>
        <w:spacing w:after="120"/>
        <w:ind w:firstLine="709"/>
        <w:jc w:val="both"/>
      </w:pPr>
      <w:r>
        <w:rPr>
          <w:rFonts w:ascii="Arial" w:cs="Arial" w:eastAsia="Arial" w:hAnsi="Arial"/>
          <w:sz w:val="24"/>
          <w:szCs w:val="24"/>
        </w:rPr>
        <w:t xml:space="preserve">Альтернативный сценарий 1 предусматривает снижение прогноза уровня ВВП на 1 %. В этом случае прогноз ВВП составит: для 2022 года – 706 607,3 млн сомов, для 2023 года – 764 896,1 млн сомов, для 2024 года – 831 805,5 млн сомов.</w:t>
      </w:r>
    </w:p>
    <w:p>
      <w:pPr>
        <w:spacing w:after="120"/>
        <w:ind w:firstLine="709"/>
        <w:jc w:val="both"/>
      </w:pPr>
      <w:r>
        <w:rPr>
          <w:rFonts w:ascii="Arial" w:cs="Arial" w:eastAsia="Arial" w:hAnsi="Arial"/>
          <w:sz w:val="24"/>
          <w:szCs w:val="24"/>
        </w:rPr>
        <w:t xml:space="preserve">Альтернативный сценарий 2 предусматривает снижение прогноза уровня ВВП на 5 %. В этом случае прогноз ВВП составит: для 2022 года – 678 057,4 млн сомов, для 2023 года – 737 991,2 млн сомов, для 2024 года – 798 197,2 млн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5669"/>
        <w:jc w:val="right"/>
      </w:pPr>
      <w:r>
        <w:rPr>
          <w:rFonts w:ascii="Arial" w:cs="Arial" w:eastAsia="Arial" w:hAnsi="Arial"/>
          <w:b w:val="false"/>
          <w:bCs w:val="false"/>
          <w:sz w:val="24"/>
          <w:szCs w:val="24"/>
        </w:rPr>
        <w:t xml:space="preserve">Приложение 5</w:t>
      </w:r>
    </w:p>
    <w:p>
      <w:pPr>
        <w:spacing w:after="120"/>
        <w:jc w:val="right"/>
      </w:pPr>
      <w:r>
        <w:rPr>
          <w:rFonts w:ascii="Arial" w:cs="Arial" w:eastAsia="Arial" w:hAnsi="Arial"/>
          <w:sz w:val="24"/>
          <w:szCs w:val="24"/>
        </w:rPr>
        <w:t xml:space="preserve">к Основным направлениям</w:t>
      </w:r>
    </w:p>
    <w:p>
      <w:pPr>
        <w:spacing w:after="120"/>
        <w:jc w:val="right"/>
      </w:pPr>
      <w:r>
        <w:rPr>
          <w:rFonts w:ascii="Arial" w:cs="Arial" w:eastAsia="Arial" w:hAnsi="Arial"/>
          <w:sz w:val="24"/>
          <w:szCs w:val="24"/>
        </w:rPr>
        <w:t xml:space="preserve">фискальной политики на 2022–2024 годы</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Проекты государственных инвестиций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Здравоохранение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Проект «Борьба с туберкулезом-V»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создание системы управления качеством в Национальной референс-лаборатории и финансирование строительных работ в учреждениях по лечению туберкулеза, а также оплаты консультационных услуг.</w:t>
      </w:r>
    </w:p>
    <w:p>
      <w:pPr>
        <w:spacing w:after="120"/>
        <w:ind w:firstLine="709"/>
        <w:jc w:val="both"/>
      </w:pPr>
      <w:r>
        <w:rPr>
          <w:rFonts w:ascii="Arial" w:cs="Arial" w:eastAsia="Arial" w:hAnsi="Arial"/>
          <w:sz w:val="24"/>
          <w:szCs w:val="24"/>
        </w:rPr>
        <w:t xml:space="preserve">Средства проекта «Создание национальной системы экстренной медицины – II»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обучение, направленное на повышение медицинской квалификации.</w:t>
      </w:r>
    </w:p>
    <w:p>
      <w:pPr>
        <w:spacing w:after="120"/>
        <w:ind w:firstLine="709"/>
        <w:jc w:val="both"/>
      </w:pPr>
      <w:r>
        <w:rPr>
          <w:rFonts w:ascii="Arial" w:cs="Arial" w:eastAsia="Arial" w:hAnsi="Arial"/>
          <w:sz w:val="24"/>
          <w:szCs w:val="24"/>
        </w:rPr>
        <w:t xml:space="preserve">Проект «Охрана материнства и детства IV-V»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и социального развития Кыргызской Республики при разработке и внедрении системы перевозки новорожденных детей; внедрение системы направления на лечение.</w:t>
      </w:r>
    </w:p>
    <w:p>
      <w:pPr>
        <w:spacing w:after="120"/>
        <w:ind w:firstLine="709"/>
        <w:jc w:val="both"/>
      </w:pPr>
      <w:r>
        <w:rPr>
          <w:rFonts w:ascii="Arial" w:cs="Arial" w:eastAsia="Arial" w:hAnsi="Arial"/>
          <w:sz w:val="24"/>
          <w:szCs w:val="24"/>
        </w:rPr>
        <w:t xml:space="preserve">Также планируется начало реализации новых проектов «Строительство нового корпуса для городской детской клинической больницы скорой медицинской помощи города Бишкек», «Строительство и оснащение нейрохирургического центра Национального госпиталя», «Экстренный проект COVID-19» (ВБ) и «Чрезвычайный проект по пандемии COVID-19» (АБР).</w:t>
      </w:r>
    </w:p>
    <w:p>
      <w:pPr>
        <w:spacing w:after="120"/>
        <w:ind w:firstLine="709"/>
        <w:jc w:val="both"/>
      </w:pPr>
      <w:r>
        <w:rPr>
          <w:rFonts w:ascii="Arial" w:cs="Arial" w:eastAsia="Arial" w:hAnsi="Arial"/>
          <w:sz w:val="24"/>
          <w:szCs w:val="24"/>
        </w:rPr>
        <w:t xml:space="preserve">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120"/>
        <w:ind w:firstLine="709"/>
        <w:jc w:val="both"/>
      </w:pPr>
      <w:r>
        <w:rPr>
          <w:rFonts w:ascii="Arial" w:cs="Arial" w:eastAsia="Arial" w:hAnsi="Arial"/>
          <w:sz w:val="24"/>
          <w:szCs w:val="24"/>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120"/>
        <w:ind w:firstLine="709"/>
        <w:jc w:val="both"/>
      </w:pPr>
      <w:r>
        <w:rPr>
          <w:rFonts w:ascii="Arial" w:cs="Arial" w:eastAsia="Arial" w:hAnsi="Arial"/>
          <w:sz w:val="24"/>
          <w:szCs w:val="24"/>
        </w:rPr>
        <w:t xml:space="preserve">«Экстренный проект COVID-19» (ВБ) направлен на укрепление эпидемиологического надзора и контроля по раннему выявлению и подтверждению лиц, инфицированных коронавирусной инфекцией COVID-19, а также усилению готовности системы оказания медицинской помощи, с минимизацией рисков для медицинского персонала и пациентов с коронавирусной инфекцией COVID-19.</w:t>
      </w:r>
    </w:p>
    <w:p>
      <w:pPr>
        <w:spacing w:after="120"/>
        <w:ind w:firstLine="709"/>
        <w:jc w:val="both"/>
      </w:pPr>
      <w:r>
        <w:rPr>
          <w:rFonts w:ascii="Arial" w:cs="Arial" w:eastAsia="Arial" w:hAnsi="Arial"/>
          <w:sz w:val="24"/>
          <w:szCs w:val="24"/>
        </w:rPr>
        <w:t xml:space="preserve">В рамках «Чрезвычайного проекта по пандемии COVID-19» (АБР) будет оказана поддержка в переоснащении медицинских учреждений в карантинные лечебные центры, включая меры по профилактике инфекций и борьбе с ними, а также в поощрении персонала в форме выплаты надбавок за работу в трудных условиях. В рамках проекта будут также закуплены, в частности, средства индивидуальной защиты с лицевыми масками и щитками, основное оборудование, включая аппараты искусственной вентиляции легких, кислородные аппараты, мониторы, изделия медицинского назначения, а также машины скорой помощи.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Сельское хозяйство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сельскохозяйственном секторе будут реализовываться следующие проекты: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животноводства и рынка – II» (МФСР)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«Повышение производительности в сельском хозяйстве и улучшение питания» (Глобальный фонд по сельскохозяйственной и продовольственной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«Комплексное развитие производительности молочного сектора» (ВБ)</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ирригационной системы Сарымсак в Кыргызской Республике» (ИБР)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«Обеспечение доступа к рынкам» (МФСР) и др.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Транспорт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транспортном секторе будут реализовываться следующие проекты:</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«Строительство альтернативной дороги Север – Юг» (ИБР, СФР)</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«Улучшение коридора ЦАРЭС 3 (автодорога Бишкек – Ош)», Фаза 4 (АБР)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«Строительство альтернативной дороги Север – Юг», Фаза 1 и Фаза 2» (КНР)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«Соединительной дороги, коридоры ЦАРЭС 1 и ЦАРЭС 3» (АБР)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«Улучшение дорог международного значения» (JICA)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«Реконструкция автомобильной дороги Бишкек – Ош, Фаза IV» (ЕАБР)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реабилитации кольцевой автодороги Балыкчы-Каракол-Балыкчы (уч. с. Балбай Баатыр г. Каракол) (ЕБРР)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«Противолавинная защита автодороги Бишкек-Ош» (JICA) и другие, в дальнейшем обеспечат растущие потребности в пассажирских и грузовых перевозках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проект «Третья фаза Программы по улучшению региональных путей сообщения в ЦА» – ПУРПС ЦА – 3 (автодорога Тюп – Кеген) (Всемирный Банк)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проект «Реконструкция моста через р. Урмарал на автородороге Талас – Тараз» (JICA).</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Энергетический сектор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энергетическом секторе будут реализовываться проекты «Реабилитация Токтогульской ГЭС, Фаза II» (АБР, ЕАБР), «Реабилитация Токтогульской ГЭС, Фаза III» (АБР). «Реконструкция Атбашинской ГЭС» (Швейцария), «Проект улучшения теплоснабжения» (ВБ), «Улучшение электроснабжения Аркинского массива Лейлекского района» (ИБР)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 Кроме того, намечается реализация крупных проектов, таких как, Проект «CASA-1000» (ВБ, ЕИБ, ИБР), «Ввод в эксплуатации второго гидроагрегата Камбаратинской ГЭС-2» (ЕАБР), «Реабилитация  Уч-Курганской ГЭС» (АБР) и др.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Жилищно-гражданское строительство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Продолжится реализация проектов «Улучшение системы управления твердыми отходами в г. Бишкек» (ИФЦА-ЕБРР), «Улучшение системы управления твердыми отходами в г. Ош» (ИФЦА, ЕИБ, ЕБРР) и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предоставить детям возможность получать образование в комфортных условиях, то есть, чтобы здание школы могло соответствовать общепринятым нормам по оснащению, комплектации, по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Питьевое водоснабжение и водоотведение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Продолжится реализация проектов: «Улучшение водоснабжения г. Бишкек (Фаза II)» (ЕБРР – СЕКО), «Реабилитация водоснабжения и канализации г. Талас» (ЕБРР – СЕКО), «Реабилитация водоснабжения и канализации г. Кант» (ЕБРР – СЕКО), «Реабилитация водоснабжения и канализации  в г. Баткен» (ИФЦА, ЕБРР), «Реабилитация водоснабжения и канализации г. Нарын» (СЕКО – ЕБРР),  «Реабилитация системы водоснабжения и канализации в г. Ош Фаза-2» (ЕБРР, ИФЦА, ЕИБ),  «Реабилитация системы водоснабжения и канализации в городах  Кара-Суу, Кызыл-Кия, Майлуу-Суу, Чолпон-Ата, Токмок, Балыкчы, Токтогул (ЕБРР, ИФЦА, ЕИБ) и других. Намечается начало реализации новых проектов «Реабилитация системы водоснабжения в г. Каракол» (ЕБРР), «Реабилитация систем водоснабжения в органах местного самоуправления Мырза-Аке, Дон-Булак и Куршаб» (ЕБРР), «Реабилитация системы водоснабжения и канализации в г. Джалал-Абад Фаза-2» (ЕБРР), «Реабилитация системы водоснабжения в г. Исфана» (ЕБРР), «Реабилитация системы водоснабжения и канализации в г. Кербен» (ЕБРР), Проект «Улучшение сельского водоснабжения и санитарии в Кыргызской Республике» (ИБР, ВБ, СФР).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Поддержка экономики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Министерством экономики и финансов Кыргызской Республики </w:t>
      </w:r>
      <w:r>
        <w:rPr>
          <w:rFonts w:ascii="Arial" w:cs="Arial" w:eastAsia="Arial" w:hAnsi="Arial"/>
          <w:sz w:val="24"/>
          <w:szCs w:val="24"/>
        </w:rPr>
        <w:t xml:space="preserve">будут реализовываться проекты: «Цепочка добавленной стоимости агрофинансирования» (КфВ), «Цепочка добавленной стоимости агрофинансирования – 2» (ИФЦА), «Третий проект сельских инвестиций» (ВБ), «Проект поддержки местных сообществ CASA–1000», «Устойчивое развитие сел в Кыргызской Республике» (ИБР), «Проект городского развития» (ВБ), Проект регионального экономического развития (ВБ), Программа жилищного финансирования (КфВ) и др.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Чрезвычайные ситуации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Министерством чрезвычайных ситуаций Кыргызской Республики</w:t>
      </w:r>
      <w:r>
        <w:rPr>
          <w:rFonts w:ascii="Arial" w:cs="Arial" w:eastAsia="Arial" w:hAnsi="Arial"/>
          <w:sz w:val="24"/>
          <w:szCs w:val="24"/>
        </w:rPr>
        <w:t xml:space="preserve"> будут реализовываться проекты: «Модернизация гидрометеорологического обслуживания в Центральной Азии» (ВБ), «Повышение устойчивости к рискам стихийных бедствий в Кыргызстане» (ВБ), «Повышение устойчивости водных ресурсов к изменению климата и стихийным бедствиям» (АБР) на общую сумму 1 343,2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6</w:t>
      </w:r>
    </w:p>
    <w:p>
      <w:pPr>
        <w:spacing w:after="120"/>
        <w:jc w:val="right"/>
      </w:pPr>
      <w:r>
        <w:rPr>
          <w:rFonts w:ascii="Arial" w:cs="Arial" w:eastAsia="Arial" w:hAnsi="Arial"/>
          <w:sz w:val="24"/>
          <w:szCs w:val="24"/>
        </w:rPr>
        <w:t xml:space="preserve">к Основным направлениям фискальной политики на 2022–2024 годы</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Объемы местных бюджетов (млн сомов)</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9"/>
        <w:gridCol w:w="959"/>
        <w:gridCol w:w="673"/>
        <w:gridCol w:w="959"/>
        <w:gridCol w:w="581"/>
        <w:gridCol w:w="959"/>
        <w:gridCol w:w="581"/>
        <w:gridCol w:w="867"/>
        <w:gridCol w:w="581"/>
        <w:gridCol w:w="1152"/>
        <w:gridCol w:w="867"/>
      </w:tblGrid>
      <w:tr>
        <w:tc>
          <w:tcPr>
            <w:tcW w:type="dxa" w:w="19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
 факт</w:t>
            </w:r>
          </w:p>
        </w:tc>
        <w:tc>
          <w:tcPr>
            <w:tcW w:type="dxa" w:w="6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
 утв. </w:t>
            </w:r>
          </w:p>
        </w:tc>
        <w:tc>
          <w:tcPr>
            <w:tcW w:type="dxa" w:w="5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 
 проект </w:t>
            </w:r>
          </w:p>
        </w:tc>
        <w:tc>
          <w:tcPr>
            <w:tcW w:type="dxa" w:w="5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 
 проект </w:t>
            </w:r>
          </w:p>
        </w:tc>
        <w:tc>
          <w:tcPr>
            <w:tcW w:type="dxa" w:w="5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 
 проект </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598 344,5</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635 040,7</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713 744,7</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772 622,3</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840 207,6</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21 081,0</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23 706,2</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24 800,8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25 324,6</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25 639,8</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в том числе:</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18 312,3</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20 700,7</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22 100,8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22 524,6</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22 933,4</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15 068,3</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17 159,4</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18 433,1</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18 817,4</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19 196,1</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2 398,6</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3 499,5</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3 640,8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3 680,3</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3 710,4</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845,4</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2 768,7</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3 005,5</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2 700,0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1 933,6</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1 967,3</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835,1</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1 038,2</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21 081,0</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23 706,2</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24 800,8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25 139,0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25 639,8</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8"/>
        <w:gridCol w:w="907"/>
        <w:gridCol w:w="642"/>
        <w:gridCol w:w="642"/>
        <w:gridCol w:w="1096"/>
        <w:gridCol w:w="1146"/>
        <w:gridCol w:w="1146"/>
      </w:tblGrid>
      <w:tr>
        <w:tc>
          <w:tcPr>
            <w:tcW w:type="dxa" w:w="4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0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8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29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Приложение 2</w:t>
            </w:r>
          </w:p>
        </w:tc>
      </w:tr>
      <w:tr>
        <w:tc>
          <w:tcPr>
            <w:tcW w:type="dxa" w:w="4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0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8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7885"/>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Таблица 1. Структура ресурсов сектора государственного управления</w:t>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млн сомов</w:t>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gridSpan w:val="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64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109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114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114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vMerge w:val="continue"/>
            <w:tcBorders>
              <w:top w:val="single" w:color="CBBF9E" w:sz="4"/>
              <w:left w:val="single" w:color="CBBF9E" w:sz="4"/>
              <w:bottom w:val="single" w:color="CBBF9E" w:sz="4"/>
              <w:right w:val="single" w:color="CBBF9E" w:sz="4"/>
            </w:tcBorders>
          </w:tcPr>
          <w:p/>
        </w:tc>
        <w:tc>
          <w:tcPr>
            <w:tcW w:type="dxa" w:w="1549"/>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факт</w:t>
            </w:r>
          </w:p>
        </w:tc>
        <w:tc>
          <w:tcPr>
            <w:tcW w:type="dxa" w:w="64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утвержд</w:t>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14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14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Структура ресурсов сектора государственного управления</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Общая сумма доходов и грантов госбюджета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152 051,1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193 550,6</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225 637,3</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238 266,6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254 670,8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Доходы госбюджета (включая спецсредства)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140 233,0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175 460,7</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209 245,6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223 657,4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245 496,1</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Гранты</w:t>
            </w:r>
            <w:r>
              <w:rPr>
                <w:rFonts w:ascii="Arial" w:cs="Arial" w:eastAsia="Arial" w:hAnsi="Arial"/>
                <w:sz w:val="24"/>
                <w:szCs w:val="24"/>
              </w:rPr>
              <w:t xml:space="preserve">1</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11 818,1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18 089,9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16 391,7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14 609,2</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9 174,7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Доходы Социального фонда </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56 056,1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62 496,4</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68 511,1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71 991,6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75 585,8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Ресурсы Фонда обязательного медицинского страхования</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17 137,2</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15 433,9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15 150,0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Нефинансовые активы</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19,0</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финансирование дефицита бюджета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19 734,0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8 154,0</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9 121,7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7 677,0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-8 305,2</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внутренние источники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-349,7</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-1 441,0</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-3 620,0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-4 584,3</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-2 101,2</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внешние источники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20 083,7</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9 595,1</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12 741,7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12 261,3</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-6 204,0</w:t>
            </w:r>
          </w:p>
        </w:tc>
      </w:tr>
      <w:tr>
        <w:tc>
          <w:tcPr>
            <w:tcW w:type="dxa" w:w="4598"/>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Структура общей суммы расходов сектора государственного управления</w:t>
            </w:r>
          </w:p>
        </w:tc>
        <w:tc>
          <w:tcPr>
            <w:tcW w:type="dxa" w:w="1549"/>
            <w:gridSpan w:val="2"/>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642"/>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096"/>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Социального фонда </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56 635,9</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62 495,9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67 144,5</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71 334,1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75 017,8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Фонда обязательного медицинского страхования</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16 663,6</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15 433,9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15 150,0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государственного бюджета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171 785,1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201 704,6</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234 759,0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245 943,6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246 365,6</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Обслуживание долга</w:t>
            </w:r>
            <w:r>
              <w:rPr>
                <w:rFonts w:ascii="Arial" w:cs="Arial" w:eastAsia="Arial" w:hAnsi="Arial"/>
                <w:sz w:val="24"/>
                <w:szCs w:val="24"/>
              </w:rPr>
              <w:t xml:space="preserve">2</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8 465,3</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9 788,1</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11 288,6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12 369,1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13 133,2</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Инвестиции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23 139,4</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40 526,9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46 612,9</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52 503,8</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47 222,5</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Внешние </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12 127,8</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24 532,5</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26 133,4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33 023,1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25 235,7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Внутренние</w:t>
            </w:r>
            <w:r>
              <w:rPr>
                <w:rFonts w:ascii="Arial" w:cs="Arial" w:eastAsia="Arial" w:hAnsi="Arial"/>
                <w:sz w:val="24"/>
                <w:szCs w:val="24"/>
              </w:rPr>
              <w:t xml:space="preserve">3</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11 011,6</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15 994,4</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20 479,4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19 480,7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21 986,8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т.ч. софинансирование ПГИ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1 413,0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1 722,1</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2 081,4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2 220,1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2 220,1</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59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Дискреционные текущие расходы госбюджета </w:t>
            </w:r>
            <w:r>
              <w:rPr>
                <w:rFonts w:ascii="Arial" w:cs="Arial" w:eastAsia="Arial" w:hAnsi="Arial"/>
                <w:sz w:val="24"/>
                <w:szCs w:val="24"/>
              </w:rPr>
              <w:t xml:space="preserve">4</w:t>
            </w:r>
          </w:p>
        </w:tc>
        <w:tc>
          <w:tcPr>
            <w:tcW w:type="dxa" w:w="1549"/>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129 888,2</w:t>
            </w:r>
          </w:p>
        </w:tc>
        <w:tc>
          <w:tcPr>
            <w:tcW w:type="dxa" w:w="64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138 758,9</w:t>
            </w:r>
          </w:p>
        </w:tc>
        <w:tc>
          <w:tcPr>
            <w:tcW w:type="dxa" w:w="10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161 082,7</w:t>
            </w:r>
          </w:p>
        </w:tc>
        <w:tc>
          <w:tcPr>
            <w:tcW w:type="dxa" w:w="11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165 122,5</w:t>
            </w:r>
          </w:p>
        </w:tc>
        <w:tc>
          <w:tcPr>
            <w:tcW w:type="dxa" w:w="11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169 745,4</w:t>
            </w:r>
          </w:p>
        </w:tc>
      </w:tr>
      <w:tr>
        <w:tc>
          <w:tcPr>
            <w:tcW w:type="dxa" w:w="45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Примечание: 1. Включает  внешние гранты на ГИ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2. По внутреннему и внешнему долгу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3. Включает  внутреннее софинансирование  ГИ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4. За исключением спецсредств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8"/>
        <w:gridCol w:w="1096"/>
        <w:gridCol w:w="1190"/>
        <w:gridCol w:w="981"/>
        <w:gridCol w:w="981"/>
        <w:gridCol w:w="981"/>
      </w:tblGrid>
      <w:tr>
        <w:tc>
          <w:tcPr>
            <w:tcW w:type="dxa" w:w="4948"/>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Таблица 2: Ключевые макроэкономические показатели </w:t>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9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90"/>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98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98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98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94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9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Номинальный  ВВП (млн сомов)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598 344,5</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635 040,7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713 744,7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772 622,3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840 207,6</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Реальный темп роста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91,4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103,9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Дефлятор ВВП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105,8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103,7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104,6</w:t>
            </w:r>
          </w:p>
        </w:tc>
      </w:tr>
      <w:tr>
        <w:tc>
          <w:tcPr>
            <w:tcW w:type="dxa" w:w="4948"/>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Инфляция  (ИПЦ к декабрю пред.года)(%)</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109,7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108,9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104,9</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Таблица 3: Сводные данные по доходам</w:t>
            </w:r>
          </w:p>
        </w:tc>
        <w:tc>
          <w:tcPr>
            <w:tcW w:type="dxa" w:w="10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90"/>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94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9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948"/>
            <w:tcBorders>
              <w:top w:val="none" w:color="auto" w:sz="0"/>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(млн сомов)</w:t>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Всего доходов и грантов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152 051,1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193 550,6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225 637,3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238 266,6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254 670,8</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90,9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127,3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116,6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Всего доходов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140 233,0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175 460,7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209 245,6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223 657,4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245 496,1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91,2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125,1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109,8</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Налоговые поступления</w:t>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144 234,6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174 587,2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190 827,6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211 979,1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88,0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134,9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111,1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Неналоговые поступления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33 303,8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31 226,1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34 658,4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32 829,8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33 516,9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103,1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93,8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94,7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102,1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без спецсредств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23 011,6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18 595,4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18 883,6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16 881,7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17 252,5</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Официальные трансферты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11 818,1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18 089,9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16 391,7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14 609,2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9 174,7</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87,6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153,1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89,1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62,8</w:t>
            </w:r>
          </w:p>
        </w:tc>
      </w:tr>
      <w:tr>
        <w:tc>
          <w:tcPr>
            <w:tcW w:type="dxa" w:w="494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в том числе гранты ГИ*</w:t>
            </w:r>
          </w:p>
        </w:tc>
        <w:tc>
          <w:tcPr>
            <w:tcW w:type="dxa" w:w="10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5 379,0</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11 772,7</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13 779,5</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13 242,6</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8 425,9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 ВВП)</w:t>
            </w:r>
          </w:p>
        </w:tc>
        <w:tc>
          <w:tcPr>
            <w:tcW w:type="dxa" w:w="109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Всего доходов и грантов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25,4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Всего доходов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Налоговые поступления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17,9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25,2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Неналоговые поступления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5,6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без спецсредств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Официальные трансферты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1,1</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в том числе гранты ГИ*</w:t>
            </w:r>
          </w:p>
        </w:tc>
        <w:tc>
          <w:tcPr>
            <w:tcW w:type="dxa" w:w="10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0,9</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1,9</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1,9</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1,7</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Таблица 4: Финансирование дефицита бюджета</w:t>
            </w:r>
          </w:p>
        </w:tc>
        <w:tc>
          <w:tcPr>
            <w:tcW w:type="dxa" w:w="1096"/>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90"/>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9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948"/>
            <w:tcBorders>
              <w:top w:val="none" w:color="auto" w:sz="0"/>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(млн сомов)</w:t>
            </w:r>
          </w:p>
        </w:tc>
        <w:tc>
          <w:tcPr>
            <w:tcW w:type="dxa" w:w="1096"/>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Внутреннее финансирование</w:t>
            </w:r>
            <w:r>
              <w:rPr>
                <w:rFonts w:ascii="Arial" w:cs="Arial" w:eastAsia="Arial" w:hAnsi="Arial"/>
                <w:b/>
                <w:bCs/>
                <w:sz w:val="24"/>
                <w:szCs w:val="24"/>
              </w:rPr>
              <w:t xml:space="preserve">1</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-349,7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-1 441,0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-3 620,0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-4 584,3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-2 101,2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из внутренних источников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10 188,8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9 689,3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3 555,5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2 495,3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9 458,9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131,2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95,1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36,7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70,2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379,1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от ГЦБ</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14 041,6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15 400,0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14 000,0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14 000,0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14 000,0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остатки на счетах ПКР</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1 313,6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3 547,5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950,0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1 082,0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2 379,2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приватизация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3 300,0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бюджетные ссуды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-5 774,6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-9 758,2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-14 694,5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-12 786,8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-7 120,3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  выдача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9 104,1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13 260,7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18 197,1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16 731,6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11 070,3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 погашение</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3 329,6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3 502,5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3 502,6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3 944,8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3 950,0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внутреннего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10 538,5</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11 130,3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7 175,5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7 079,5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11 560,1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102,6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64,5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98,7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163,3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Внешнее финансирование</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20 083,7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9 595,1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12 741,7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12 261,3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-6 204,0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Внешние источники (ГИ)</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31 719,9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25 188,6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21 918,0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31 301,9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26 717,0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242,6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79,4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87,0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142,8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85,4</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Поступления программных займов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637,5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11 713,0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9 080,0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внешнего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11 636,2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16 231,0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20 889,3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28 120,7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32 921,0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114,8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139,5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128,7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134,6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117,1</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Дефицит/профицит бюджета </w:t>
            </w:r>
          </w:p>
        </w:tc>
        <w:tc>
          <w:tcPr>
            <w:tcW w:type="dxa" w:w="10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-19 734,0</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-8 154,0</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-9 121,7</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-7 677,0</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8 305,2</w:t>
            </w:r>
          </w:p>
        </w:tc>
      </w:tr>
      <w:tr>
        <w:tc>
          <w:tcPr>
            <w:tcW w:type="dxa" w:w="4948"/>
            <w:tcBorders>
              <w:top w:val="none" w:color="auto" w:sz="0"/>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 к ВВП)</w:t>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Внутреннее финансирование</w:t>
            </w:r>
            <w:r>
              <w:rPr>
                <w:rFonts w:ascii="Arial" w:cs="Arial" w:eastAsia="Arial" w:hAnsi="Arial"/>
                <w:b/>
                <w:bCs/>
                <w:sz w:val="24"/>
                <w:szCs w:val="24"/>
              </w:rPr>
              <w:t xml:space="preserve">1</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-0,1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из внутренних источников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от ГЦБ</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остатки на счетах ПКР</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приватизация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бюджетные ссуды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внутреннего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Внешнее финансирование</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-0,7</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Внешние источники (ПГИ)*</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5,3</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Поддержка платежного баланса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внешнего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3,9</w:t>
            </w:r>
          </w:p>
        </w:tc>
      </w:tr>
      <w:tr>
        <w:tc>
          <w:tcPr>
            <w:tcW w:type="dxa" w:w="4948"/>
            <w:tcBorders>
              <w:top w:val="none" w:color="auto" w:sz="0"/>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ВСЕГО</w:t>
            </w:r>
          </w:p>
        </w:tc>
        <w:tc>
          <w:tcPr>
            <w:tcW w:type="dxa" w:w="10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-3,3</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-1,3</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-1,3</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-1,0</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0"/>
        <w:gridCol w:w="1224"/>
        <w:gridCol w:w="1144"/>
        <w:gridCol w:w="1144"/>
        <w:gridCol w:w="1197"/>
        <w:gridCol w:w="1038"/>
      </w:tblGrid>
      <w:tr>
        <w:tc>
          <w:tcPr>
            <w:tcW w:type="dxa" w:w="4430"/>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Таблица 5: Ресурсы и расходы государственного бюджета</w:t>
            </w:r>
          </w:p>
        </w:tc>
        <w:tc>
          <w:tcPr>
            <w:tcW w:type="dxa" w:w="1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43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млн.сомов</w:t>
            </w:r>
          </w:p>
        </w:tc>
        <w:tc>
          <w:tcPr>
            <w:tcW w:type="dxa" w:w="114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4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4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114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1197"/>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1038"/>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4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114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03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Ресурсы государственного бюджета</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171 785,1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201 723,6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234 785,9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245 970,5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246 392,6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102,4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117,4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116,4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104,8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доходы и полученные офиц. трансферты</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152 051,1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193 550,6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225 637,3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238 266,6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254 670,8</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90,9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127,3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116,6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105,6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106,9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доходы </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140 233,0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175 460,7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209 245,6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223 657,4</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245 496,1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Налоговые поступления </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106 929,2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144 234,6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174 587,2</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190 827,6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211 979,1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33 303,8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31 226,1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34 658,4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32 829,8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33 516,9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Полученные официальные трансферты вкл. ГИ</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11 818,1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18 089,9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16 391,7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14 609,2</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9 174,7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i/>
                <w:iCs/>
                <w:sz w:val="24"/>
                <w:szCs w:val="24"/>
              </w:rPr>
              <w:t xml:space="preserve">капитальные доходы</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r>
      <w:tr>
        <w:tc>
          <w:tcPr>
            <w:tcW w:type="dxa" w:w="4430"/>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Дефицит/профицит бюджета</w:t>
            </w:r>
          </w:p>
        </w:tc>
        <w:tc>
          <w:tcPr>
            <w:tcW w:type="dxa" w:w="1224"/>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-19 734,0</w:t>
            </w:r>
          </w:p>
        </w:tc>
        <w:tc>
          <w:tcPr>
            <w:tcW w:type="dxa" w:w="1144"/>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-8 154,0</w:t>
            </w:r>
          </w:p>
        </w:tc>
        <w:tc>
          <w:tcPr>
            <w:tcW w:type="dxa" w:w="1144"/>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-9 121,7</w:t>
            </w:r>
          </w:p>
        </w:tc>
        <w:tc>
          <w:tcPr>
            <w:tcW w:type="dxa" w:w="1197"/>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-7 677,0</w:t>
            </w:r>
          </w:p>
        </w:tc>
        <w:tc>
          <w:tcPr>
            <w:tcW w:type="dxa" w:w="1038"/>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8 305,2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Источники финансирования:</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19 734,0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8 154,0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9 121,7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7 677,0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-8 305,2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 .т.ч. внутреннее финансирование</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-349,7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-1 441,0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-3 620,0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-4 584,3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-2 101,2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внешнее финансирование</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20 083,7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9 595,1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12 741,7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12 261,3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-6 204,0</w:t>
            </w:r>
          </w:p>
        </w:tc>
      </w:tr>
      <w:tr>
        <w:tc>
          <w:tcPr>
            <w:tcW w:type="dxa" w:w="4430"/>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Ресурсы госбюджета </w:t>
            </w:r>
          </w:p>
        </w:tc>
        <w:tc>
          <w:tcPr>
            <w:tcW w:type="dxa" w:w="1224"/>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171 785,1</w:t>
            </w:r>
          </w:p>
        </w:tc>
        <w:tc>
          <w:tcPr>
            <w:tcW w:type="dxa" w:w="1144"/>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201 723,6</w:t>
            </w:r>
          </w:p>
        </w:tc>
        <w:tc>
          <w:tcPr>
            <w:tcW w:type="dxa" w:w="1144"/>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234 785,9</w:t>
            </w:r>
          </w:p>
        </w:tc>
        <w:tc>
          <w:tcPr>
            <w:tcW w:type="dxa" w:w="1197"/>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245 970,5</w:t>
            </w:r>
          </w:p>
        </w:tc>
        <w:tc>
          <w:tcPr>
            <w:tcW w:type="dxa" w:w="1038"/>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246 392,6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расходы государственного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171 785,1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201 723,6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234 785,9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245 970,5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246 392,6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102,4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117,4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116,4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104,8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148 645,7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160 876,2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188 173,1</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193 466,7</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199 170,1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109,2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108,2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117,0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102,8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102,9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Капитальные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23 139,4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40 847,4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46 612,9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52 503,8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47 222,5</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73,1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176,5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114,1</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112,6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89,9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12 127,8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24 532,5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26 133,4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33 023,1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25 235,7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внутреннее софинансирование</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491,5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1 722,1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2 081,4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2 220,1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1 410,2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Капитальные расходы из внутренних источников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11 011,6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16 314,9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20 479,4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19 480,7</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21 986,8</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59,3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148,2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125,5</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95,1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112,9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т.ч. Капитальные вложения из республиканского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3 000,0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3 000,0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3 000,0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4 000,0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6 500,0</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Выплата процентов по госдолгу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8 465,3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9 788,1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11 288,6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12 369,1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13 133,2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проценты по внешнему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4 404,4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5 254,7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5 736,9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5 971,3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5 891,9</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проценты по внутреннему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4 060,9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4 533,5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5 551,7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6 397,8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7 241,4</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по специальным средствам</w:t>
            </w:r>
          </w:p>
        </w:tc>
        <w:tc>
          <w:tcPr>
            <w:tcW w:type="dxa" w:w="1224"/>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1144"/>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1144"/>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1197"/>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1038"/>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Дискреционные текущие расходы государственного бюджета </w:t>
            </w:r>
          </w:p>
        </w:tc>
        <w:tc>
          <w:tcPr>
            <w:tcW w:type="dxa" w:w="1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129 888,2</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138 777,9</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161 109,7</w:t>
            </w:r>
          </w:p>
        </w:tc>
        <w:tc>
          <w:tcPr>
            <w:tcW w:type="dxa" w:w="1197"/>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165 149,5</w:t>
            </w:r>
          </w:p>
        </w:tc>
        <w:tc>
          <w:tcPr>
            <w:tcW w:type="dxa" w:w="103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169 772,4</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430"/>
            <w:tcBorders>
              <w:top w:val="single" w:color="CBBF9E" w:sz="4"/>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 ВВП)</w:t>
            </w:r>
          </w:p>
        </w:tc>
        <w:tc>
          <w:tcPr>
            <w:tcW w:type="dxa" w:w="1224"/>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Ресурсы государственного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28,7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29,3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доходы и полученные офиц. трансферты</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25,4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доходы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28,9</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Налоговые поступления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24,7</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4,2</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Полученные официальные трансферты*</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Финансирование</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1,0</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Ресурсы госбюджета </w:t>
            </w:r>
          </w:p>
        </w:tc>
        <w:tc>
          <w:tcPr>
            <w:tcW w:type="dxa" w:w="1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28,7</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31,8</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32,9</w:t>
            </w:r>
          </w:p>
        </w:tc>
        <w:tc>
          <w:tcPr>
            <w:tcW w:type="dxa" w:w="1197"/>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31,8</w:t>
            </w:r>
          </w:p>
        </w:tc>
        <w:tc>
          <w:tcPr>
            <w:tcW w:type="dxa" w:w="103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29,3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расходы государственного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28,7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29,3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24,8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Капитальные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6,5</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3,0</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внутреннее софинансирование</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Капитальные расходы из внутренних источников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т.ч. Капитальные вложения из республиканского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Выплата процентов по госдолгу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проценты по внешнему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проценты по внутреннему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по специальным средствам</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21,7</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21,9</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22,6</w:t>
            </w:r>
          </w:p>
        </w:tc>
        <w:tc>
          <w:tcPr>
            <w:tcW w:type="dxa" w:w="1197"/>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21,4</w:t>
            </w:r>
          </w:p>
        </w:tc>
        <w:tc>
          <w:tcPr>
            <w:tcW w:type="dxa" w:w="103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20,2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0"/>
        <w:gridCol w:w="1190"/>
        <w:gridCol w:w="1190"/>
        <w:gridCol w:w="1190"/>
        <w:gridCol w:w="1190"/>
        <w:gridCol w:w="1190"/>
        <w:gridCol w:w="1190"/>
        <w:gridCol w:w="1190"/>
        <w:gridCol w:w="654"/>
      </w:tblGrid>
      <w:tr>
        <w:tc>
          <w:tcPr>
            <w:tcW w:type="dxa" w:w="9520"/>
            <w:gridSpan w:val="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Таблица 6  Контрольные цифры по министерствам, ведомствам на 2022-2024 годы</w:t>
            </w:r>
          </w:p>
        </w:tc>
        <w:tc>
          <w:tcPr>
            <w:tcW w:type="dxa" w:w="6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6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тыс.сомов</w:t>
            </w:r>
          </w:p>
        </w:tc>
        <w:tc>
          <w:tcPr>
            <w:tcW w:type="dxa" w:w="6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190"/>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Код </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2021
 Закон №15</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2022
 прогноз</w:t>
            </w:r>
          </w:p>
        </w:tc>
        <w:tc>
          <w:tcPr>
            <w:tcW w:type="dxa" w:w="1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2021</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2023
 прогноз</w:t>
            </w:r>
          </w:p>
        </w:tc>
        <w:tc>
          <w:tcPr>
            <w:tcW w:type="dxa" w:w="1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2022</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2024
 прогноз</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2023</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Жогорку Кенеш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707 025,3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707 025,3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720 148,3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740 793,3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Администрация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151 327,3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451 351,9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298,3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459 325,3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461 868,8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100,6</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Архив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7 952,7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7 952,7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8 106,9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8 349,4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Министров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216 555,4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30 000,0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30 000,0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30 000,0</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513 521,7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593 549,8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605 054,8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623 154,3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Верховный суд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1 762 168,3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2 128 975,8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120,8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2 170 242,6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2 235 162,6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Счетная палата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240 847,1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254 719,6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259 656,9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267 424,2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комиссия по выборам и проведению референдумов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1 435 671,2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233 589,1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183 320,5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78,5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134 892,6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73,6</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Генеральная прокуратура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566 786,5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668 192,4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117,9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681 012,2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701 383,8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Военная прокуратура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42 827,6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49 653,9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50 616,4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52 130,5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Аппарат Омбудсмена (Акыйкатчы)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60 146,6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60 146,6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61 312,4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63 146,5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юстиции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1 906 125,8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2 045 524,6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107,3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2 084 722,0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2 146 386,6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иностранных дел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1 377 283,2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1 952 607,6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1 984 919,2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2 035 751,2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102,6</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Резервные и другие фонды территорий</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981 867,2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1 481 867,2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150,9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1 500 899,1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1 530 839,7</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КР (государственные программы, мероприятия и выплаты)</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62 499 441,0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82 421 627,9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85 381 491,2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87 181 179,8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102,1</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3 027 799,5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3 581 180,4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3 649 434,0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3 756 809,1</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здравоохранения и социального развития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13 316 112,3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18 815 085,6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18 275 280,0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18 605 952,4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101,8</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образования и науки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28 997 777,0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29 612 177,0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30 182 827,7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31 080 563,4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интеллектуальной собственности и инновации </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54 308,1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42 565,2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78,4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43 429,3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44 728,4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Академия государственного управления при Президенте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14 363,6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14 363,6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14 642,0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15 080,0</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Общественное объединение «Республиканский Совет ветеранов войны, Bооруженных Cил, правоохранительных органов и труженников тыла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739,4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509,7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524,9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сельского, водного хозяйства и развития регионов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2 157 653,9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2 496 224,1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2 544 609,4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2 620 728,2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транспорта и коммуникаций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974 557,5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1 687 046,7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173,1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1 719 745,6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1 771 191,5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культуры, информации, спорта и молодежной политики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2 899 249,7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3 284 534,0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113,3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3 347 121,7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3 445 583,4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чрезвычайных ситуаций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2 210 440,0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1 986 865,6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89,9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2 025 377,8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2 085 964,5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Центрально-Азиатский институт прикладных исследований Земли</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14 335,5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14 335,5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14 613,4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15 050,5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Центральное правление «Кыргызского общества слепых и глухих»</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39 701,3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50 380,3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126,9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51 356,8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52 893,1</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комиссия по государственному языку  при Президенте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14 101,6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14 101,6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14 374,9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14 804,9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энергетики и промышленности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1 331 015,8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1 377 054,5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1 403 746,5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1 445 737,8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инвестиций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139 649,7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151 625,0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108,6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156 382,5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103,1</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Государственная кадровая служба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68 222,6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68 222,6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69 544,9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71 625,3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архитектуры, строительства и жилищно-коммунального хозяйства </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21 459,2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68 680,0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70 011,3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72 105,5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Государственная комиссия по делам религий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21 424,8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25 424,8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25 917,6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26 692,9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комитет по экологии и климату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672 131,6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700 813,0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708 845,6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721 482,2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101,8</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 судебного представительства ПКР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168 439,3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168 439,3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168 602,9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168 860,2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100,2</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68</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Секретариат Национальной  комиссии КР по делам ЮНЕСКО</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2 937,0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2 937,0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2 993,9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3 083,5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цифрового развития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573 511,1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578 511,1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589 724,7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607 365,3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Национальный институт стратегических исследований КР 70151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14 390,1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14 390,1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14 669,0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15 107,8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Государственная служба финансовой разведки </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36 084,0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36 084,0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36 783,4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37 883,8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Национальный статистический комитет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665 557,7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656 233,3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98,6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347 312,9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357 470,3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аттестационная комиссия при Президенте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7 823,0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7 823,0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7 974,6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8 213,2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Секретариат Совета безопасности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15 432,9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15 432,9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15 732,0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16 202,6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академия наук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352 925,3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356 794,4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363 710,3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374 590,2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Клиническая больница УД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149 606,0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212 341,8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216 457,7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222 932,8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82</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12 467,8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13 888,2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111,4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14 157,4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14 580,9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Редакции журналов и газет</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490,6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505,3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Телерадиовещательные компании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511 682,1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511 682,1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521 600,2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537 203,3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Государственное учреждение "Кыргызтест"  70825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12 240,1</w:t>
            </w:r>
          </w:p>
        </w:tc>
        <w:tc>
          <w:tcPr>
            <w:tcW w:type="dxa" w:w="1190"/>
            <w:tcBorders>
              <w:top w:val="none" w:color="auto" w:sz="0"/>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12 240,1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12 477,4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12 850,6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88</w:t>
            </w:r>
          </w:p>
        </w:tc>
        <w:tc>
          <w:tcPr>
            <w:tcW w:type="dxa" w:w="1190"/>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Национальная академия "Манас" и Чингиза Айтматова</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35 929,1</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35 929,1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36 625,5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37 721,1</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(трансферты Соцфонду КР) 70185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23 215 728,4</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26 675 588,5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114,9</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27 786 222,6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104,2</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28 880 876,3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103,9</w:t>
            </w:r>
          </w:p>
        </w:tc>
      </w:tr>
      <w:tr>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(трансферты ФОМСу ) 70184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11 191 341,7</w:t>
            </w:r>
          </w:p>
        </w:tc>
        <w:tc>
          <w:tcPr>
            <w:tcW w:type="dxa" w:w="1190"/>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15 654 253,2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139,9</w:t>
            </w:r>
          </w:p>
        </w:tc>
        <w:tc>
          <w:tcPr>
            <w:tcW w:type="dxa" w:w="1190"/>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15 854 896,6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101,3</w:t>
            </w:r>
          </w:p>
        </w:tc>
        <w:tc>
          <w:tcPr>
            <w:tcW w:type="dxa" w:w="1190"/>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16 059 261,6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hyperlink w:history="1" r:id="rIdxliinfrj3kubih1gwrn0e">
        <w:r>
          <w:rPr>
            <w:rFonts w:ascii="Arial" w:cs="Arial" w:eastAsia="Arial" w:hAnsi="Arial"/>
            <w:color w:val="1D4ED8"/>
            <w:sz w:val="24"/>
            <w:szCs w:val="24"/>
            <w:u w:val="single"/>
          </w:rPr>
          <w:t xml:space="preserve">[1]</w:t>
        </w:r>
      </w:hyperlink>
      <w:r>
        <w:rPr>
          <w:rFonts w:ascii="Arial" w:cs="Arial" w:eastAsia="Arial" w:hAnsi="Arial"/>
          <w:sz w:val="24"/>
          <w:szCs w:val="24"/>
        </w:rPr>
        <w:t xml:space="preserve"> Без учета стоимости переработанного давальческого сырья, но с учетом покупной электроэнергии.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996w9zxd3thmhh3yal9f">
      <w:r>
        <w:rPr>
          <w:rFonts w:ascii="Arial" w:cs="Arial" w:eastAsia="Arial" w:hAnsi="Arial"/>
          <w:color w:val="132D3F"/>
          <w:sz w:val="16"/>
          <w:szCs w:val="16"/>
          <w:u w:val="single"/>
        </w:rPr>
        <w:t xml:space="preserve">dalil.kg/document/158734</w:t>
      </w:r>
    </w:hyperlink>
  </w:p>
  <w:p>
    <w:pPr>
      <w:spacing w:after="0" w:before="40"/>
      <w:jc w:val="center"/>
    </w:pPr>
    <w:hyperlink w:history="1" r:id="rIduugpuf4u0fiw2z3cqvd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rvgzyojgj5wewcjvl5d" Type="http://schemas.openxmlformats.org/officeDocument/2006/relationships/hyperlink" Target="https://dalil.kg/document/158734#_ftn1" TargetMode="External"/><Relationship Id="rIdxliinfrj3kubih1gwrn0e" Type="http://schemas.openxmlformats.org/officeDocument/2006/relationships/hyperlink" Target="https://dalil.kg/document/158734#_ftnref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996w9zxd3thmhh3yal9f" Type="http://schemas.openxmlformats.org/officeDocument/2006/relationships/hyperlink" Target="https://dalil.kg/document/158734" TargetMode="External"/><Relationship Id="rIduugpuf4u0fiw2z3cqvd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2026-09-24T17:43:50.683Z</dcterms:created>
  <dcterms:modified xsi:type="dcterms:W3CDTF">2026-09-24T17:43:50.683Z</dcterms:modified>
</cp:coreProperties>
</file>

<file path=docProps/custom.xml><?xml version="1.0" encoding="utf-8"?>
<Properties xmlns="http://schemas.openxmlformats.org/officeDocument/2006/custom-properties" xmlns:vt="http://schemas.openxmlformats.org/officeDocument/2006/docPropsVTypes"/>
</file>