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«О бюджете Фонда обязательного медицинского страхования при Правительстве Кыргызской Республики на 2021 год и прогнозе на 2022–2023 годы»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 Кыргызской Республики «О бюджете Фонда обязательного медицинского страхования при Правительстве Кыргызской Республики на 2021 год и прогнозе на 2022–2023 годы» (газета «Эркин Тоо» от 29 января 2021 года № 7)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 в названии и статье 1 слово «Правительстве» заменить словами «Министерстве здравоохранения»; цифры «15 433 850,5» заменить цифрами «19 985 582,7»;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 в статьях 2–5, 8, 10, 12 слово «Правительстве» заменить словами «Министерстве здравоохранения»;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 в статье 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слово «Правительстве» заменить словами «Министерстве здравоохранения»;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 втором части 1 цифры «11 191 341,7» заменить цифрами «15 039 225,4»;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 втором части 2 цифры «2 742 079,3» заменить цифрами «2 823 802,3»;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 в статье 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слово «Правительстве» заменить словами «Министерстве здравоохранения»;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части 1 цифры «385 561,0» заменить   цифрами «647 082,2»;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 в приложении 2 к Закону слово «Правительстве» заменить словами «Министерстве здравоохранения»;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 приложения 1, 3–6 к Закону изложить в редакции согласно приложениям    1–5  к  настоящему Закону.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right"/>
      </w:pPr>
      <w:r>
        <w:rPr>
          <w:rFonts w:ascii="Arial" w:cs="Arial" w:eastAsia="Arial" w:hAnsi="Arial"/>
          <w:sz w:val="24"/>
          <w:szCs w:val="24"/>
        </w:rPr>
        <w:t xml:space="preserve">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>   «Приложение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 «О бюджете Фонда обязательного медицинского страхования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 Министерстве здравоохранения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на 2021 год и прогнозе на 2022–2023 годы»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
 Фонда обязательного медицинского страхования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при Министерстве здравоохранения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 на 2021 год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(в 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16"/>
        <w:gridCol w:w="7503"/>
        <w:gridCol w:w="1759"/>
      </w:tblGrid>
      <w:tr>
        <w:tc>
          <w:tcPr>
            <w:tcW w:type="dxa" w:w="9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75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7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ресурсов: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19 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5 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582,7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7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19 338 500,5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7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000,0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</w:t>
            </w:r>
          </w:p>
        </w:tc>
        <w:tc>
          <w:tcPr>
            <w:tcW w:type="dxa" w:w="7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Фонда обязательного медицинского страхования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000,0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7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18 0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97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1 312</w:t>
            </w:r>
          </w:p>
        </w:tc>
        <w:tc>
          <w:tcPr>
            <w:tcW w:type="dxa" w:w="7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 от международных организаций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1 333</w:t>
            </w:r>
          </w:p>
        </w:tc>
        <w:tc>
          <w:tcPr>
            <w:tcW w:type="dxa" w:w="7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039 225,4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1 335</w:t>
            </w:r>
          </w:p>
        </w:tc>
        <w:tc>
          <w:tcPr>
            <w:tcW w:type="dxa" w:w="7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бюджета Социального фонда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2 823 802,3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7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1 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233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970,6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1 423</w:t>
            </w:r>
          </w:p>
        </w:tc>
        <w:tc>
          <w:tcPr>
            <w:tcW w:type="dxa" w:w="7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Поступления от оказания платных услуг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1 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233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970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средства сооплаты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547 745,8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года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647 082,2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общие расходы: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19 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985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7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19 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985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7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86 984,6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7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13 417,2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19 870 853,2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7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 и услуг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10 132,8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7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1 204,3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7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фонды 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2 990,6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 Приложение 2 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 «Приложение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  «О бюджете Фонда обязательного медицинского страхования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 </w:t>
      </w:r>
      <w:r>
        <w:rPr>
          <w:rFonts w:ascii="Arial" w:cs="Arial" w:eastAsia="Arial" w:hAnsi="Arial"/>
          <w:sz w:val="24"/>
          <w:szCs w:val="24"/>
        </w:rPr>
        <w:t xml:space="preserve">Министерстве здравоохранения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на 2021 год и прогнозе на   2022–2023 годы»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
 Фонда обязательного медицинского страхования при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Министерстве здравоохранения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Кыргызской Республики на 2021 год – Доходы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(в тыс.сомов)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21"/>
        <w:gridCol w:w="6965"/>
        <w:gridCol w:w="1692"/>
      </w:tblGrid>
      <w:tr>
        <w:tc>
          <w:tcPr>
            <w:tcW w:type="dxa" w:w="1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 с учетом остатка на начало года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19 985 582,7</w:t>
            </w:r>
          </w:p>
        </w:tc>
      </w:tr>
      <w:tr>
        <w:tc>
          <w:tcPr>
            <w:tcW w:type="dxa" w:w="1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года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647 082,2</w:t>
            </w:r>
          </w:p>
        </w:tc>
      </w:tr>
      <w:tr>
        <w:tc>
          <w:tcPr>
            <w:tcW w:type="dxa" w:w="1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6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19 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338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500,5</w:t>
            </w:r>
          </w:p>
        </w:tc>
      </w:tr>
      <w:tr>
        <w:tc>
          <w:tcPr>
            <w:tcW w:type="dxa" w:w="1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6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7 000,0</w:t>
            </w:r>
          </w:p>
        </w:tc>
      </w:tr>
      <w:tr>
        <w:tc>
          <w:tcPr>
            <w:tcW w:type="dxa" w:w="1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1 231</w:t>
            </w:r>
          </w:p>
        </w:tc>
        <w:tc>
          <w:tcPr>
            <w:tcW w:type="dxa" w:w="6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доходы Фонда обязательного медицинского страхования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7 000,0</w:t>
            </w:r>
          </w:p>
        </w:tc>
      </w:tr>
      <w:tr>
        <w:tc>
          <w:tcPr>
            <w:tcW w:type="dxa" w:w="1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12 311 200</w:t>
            </w:r>
          </w:p>
        </w:tc>
        <w:tc>
          <w:tcPr>
            <w:tcW w:type="dxa" w:w="6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выдачи полиса ОМС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7 000,0</w:t>
            </w:r>
          </w:p>
        </w:tc>
      </w:tr>
      <w:tr>
        <w:tc>
          <w:tcPr>
            <w:tcW w:type="dxa" w:w="1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6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18 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097 529,9</w:t>
            </w:r>
          </w:p>
        </w:tc>
      </w:tr>
      <w:tr>
        <w:tc>
          <w:tcPr>
            <w:tcW w:type="dxa" w:w="1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1 312 </w:t>
            </w:r>
          </w:p>
        </w:tc>
        <w:tc>
          <w:tcPr>
            <w:tcW w:type="dxa" w:w="6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Трансферты от международных организаций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13 121 100</w:t>
            </w:r>
          </w:p>
        </w:tc>
        <w:tc>
          <w:tcPr>
            <w:tcW w:type="dxa" w:w="6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1 333</w:t>
            </w:r>
          </w:p>
        </w:tc>
        <w:tc>
          <w:tcPr>
            <w:tcW w:type="dxa" w:w="6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15 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039 225,4</w:t>
            </w:r>
          </w:p>
        </w:tc>
      </w:tr>
      <w:tr>
        <w:tc>
          <w:tcPr>
            <w:tcW w:type="dxa" w:w="1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13 332 100</w:t>
            </w:r>
          </w:p>
        </w:tc>
        <w:tc>
          <w:tcPr>
            <w:tcW w:type="dxa" w:w="6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на базовое государственное медицинское страхование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571 537,1</w:t>
            </w:r>
          </w:p>
        </w:tc>
      </w:tr>
      <w:tr>
        <w:tc>
          <w:tcPr>
            <w:tcW w:type="dxa" w:w="1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13 332</w:t>
            </w:r>
          </w:p>
        </w:tc>
        <w:tc>
          <w:tcPr>
            <w:tcW w:type="dxa" w:w="6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льготные категории населения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467 688,3</w:t>
            </w:r>
          </w:p>
        </w:tc>
      </w:tr>
      <w:tr>
        <w:tc>
          <w:tcPr>
            <w:tcW w:type="dxa" w:w="1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13 332 210</w:t>
            </w:r>
          </w:p>
        </w:tc>
        <w:tc>
          <w:tcPr>
            <w:tcW w:type="dxa" w:w="6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детей до 16 лет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351 621,9</w:t>
            </w:r>
          </w:p>
        </w:tc>
      </w:tr>
      <w:tr>
        <w:tc>
          <w:tcPr>
            <w:tcW w:type="dxa" w:w="1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13 332 220</w:t>
            </w:r>
          </w:p>
        </w:tc>
        <w:tc>
          <w:tcPr>
            <w:tcW w:type="dxa" w:w="6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пенсионеров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84 450,2</w:t>
            </w:r>
          </w:p>
        </w:tc>
      </w:tr>
      <w:tr>
        <w:tc>
          <w:tcPr>
            <w:tcW w:type="dxa" w:w="1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13 332 230</w:t>
            </w:r>
          </w:p>
        </w:tc>
        <w:tc>
          <w:tcPr>
            <w:tcW w:type="dxa" w:w="6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инвалидов с детства и лиц, получающих социальные пособия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10 227,5</w:t>
            </w:r>
          </w:p>
        </w:tc>
      </w:tr>
      <w:tr>
        <w:tc>
          <w:tcPr>
            <w:tcW w:type="dxa" w:w="1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13 332 240</w:t>
            </w:r>
          </w:p>
        </w:tc>
        <w:tc>
          <w:tcPr>
            <w:tcW w:type="dxa" w:w="6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учащихся начальных профессиональных учебных заведений, студентов средних и высших профессиональных учебных заведений до достижения ими возраста 21 года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18 282,0</w:t>
            </w:r>
          </w:p>
        </w:tc>
      </w:tr>
      <w:tr>
        <w:tc>
          <w:tcPr>
            <w:tcW w:type="dxa" w:w="1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13 332 250</w:t>
            </w:r>
          </w:p>
        </w:tc>
        <w:tc>
          <w:tcPr>
            <w:tcW w:type="dxa" w:w="6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безработных граждан, официально зарегистрированных в государственной службе занятости населения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2 349,3</w:t>
            </w:r>
          </w:p>
        </w:tc>
      </w:tr>
      <w:tr>
        <w:tc>
          <w:tcPr>
            <w:tcW w:type="dxa" w:w="1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13 332 260</w:t>
            </w:r>
          </w:p>
        </w:tc>
        <w:tc>
          <w:tcPr>
            <w:tcW w:type="dxa" w:w="6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военнослужащих срочной службы, офицеров, прапорщиков, военнослужащих сверхсрочной службы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757,4</w:t>
            </w:r>
          </w:p>
        </w:tc>
      </w:tr>
      <w:tr>
        <w:tc>
          <w:tcPr>
            <w:tcW w:type="dxa" w:w="1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1 335</w:t>
            </w:r>
          </w:p>
        </w:tc>
        <w:tc>
          <w:tcPr>
            <w:tcW w:type="dxa" w:w="6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полученные из бюджета Социального фонда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2 823 802,3</w:t>
            </w:r>
          </w:p>
        </w:tc>
      </w:tr>
      <w:tr>
        <w:tc>
          <w:tcPr>
            <w:tcW w:type="dxa" w:w="1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13 351 100</w:t>
            </w:r>
          </w:p>
        </w:tc>
        <w:tc>
          <w:tcPr>
            <w:tcW w:type="dxa" w:w="6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бюджета Социального фонда на обязательное медицинское страхование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2 823 802,3</w:t>
            </w:r>
          </w:p>
        </w:tc>
      </w:tr>
      <w:tr>
        <w:tc>
          <w:tcPr>
            <w:tcW w:type="dxa" w:w="1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6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1 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233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970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1423</w:t>
            </w:r>
          </w:p>
        </w:tc>
        <w:tc>
          <w:tcPr>
            <w:tcW w:type="dxa" w:w="6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Поступления от оказания платных услуг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1 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233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970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средства сооплаты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745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 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 «Приложение 4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 «О бюджете Фонда обязательного медицинского страхования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 </w:t>
      </w:r>
      <w:r>
        <w:rPr>
          <w:rFonts w:ascii="Arial" w:cs="Arial" w:eastAsia="Arial" w:hAnsi="Arial"/>
          <w:sz w:val="24"/>
          <w:szCs w:val="24"/>
        </w:rPr>
        <w:t xml:space="preserve">Министерстве здравоохранения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на 2021 год и прогнозе на 2022–2023 годы»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
 Фонда обязательного медицинского страхования при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Министерстве здравоохранения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 на 2021 год – Расходы
 </w:t>
      </w:r>
      <w:r>
        <w:rPr>
          <w:rFonts w:ascii="Arial" w:cs="Arial" w:eastAsia="Arial" w:hAnsi="Arial"/>
          <w:sz w:val="24"/>
          <w:szCs w:val="24"/>
        </w:rPr>
        <w:t xml:space="preserve">(по ведомственной классификации и экономической классификации расходов)                                                                                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(в 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28"/>
        <w:gridCol w:w="7534"/>
        <w:gridCol w:w="1716"/>
      </w:tblGrid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</w:t>
            </w:r>
          </w:p>
        </w:tc>
        <w:tc>
          <w:tcPr>
            <w:tcW w:type="dxa" w:w="7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19 985 582,7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36110</w:t>
            </w:r>
          </w:p>
        </w:tc>
        <w:tc>
          <w:tcPr>
            <w:tcW w:type="dxa" w:w="7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(аппарат)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47 817,5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7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29 300,0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7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4 418,5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12 186,2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7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 и услуг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900,0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7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фонды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1 012,8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47 817,5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36121</w:t>
            </w:r>
          </w:p>
        </w:tc>
        <w:tc>
          <w:tcPr>
            <w:tcW w:type="dxa" w:w="7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(подведомственные учреждения)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86 693,4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7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57 684,6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7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8 998,7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10 801,4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7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 и услуг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6 026,6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7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1 204,3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7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фонды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1 977,8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86 693,4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36131</w:t>
            </w:r>
          </w:p>
        </w:tc>
        <w:tc>
          <w:tcPr>
            <w:tcW w:type="dxa" w:w="7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– Единый плательщик (мероприятия по борьбе с эпидемиями)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1 7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49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30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304,7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36141</w:t>
            </w:r>
          </w:p>
        </w:tc>
        <w:tc>
          <w:tcPr>
            <w:tcW w:type="dxa" w:w="7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– Единый плательщик (подведомственные учреждения здравоохранения)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16 307 523,9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307 523,9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16 307 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523,9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36210</w:t>
            </w:r>
          </w:p>
        </w:tc>
        <w:tc>
          <w:tcPr>
            <w:tcW w:type="dxa" w:w="7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(государственные программы, мероприятия и выплаты)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1 538 151,1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1 538 151,1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1 538 151,1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36220</w:t>
            </w:r>
          </w:p>
        </w:tc>
        <w:tc>
          <w:tcPr>
            <w:tcW w:type="dxa" w:w="7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(улучшение технического оснащения и внедрение новейших технологий в области медицины)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101,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101,0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101,0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36230</w:t>
            </w:r>
          </w:p>
        </w:tc>
        <w:tc>
          <w:tcPr>
            <w:tcW w:type="dxa" w:w="7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(информационно-коммуникационное обеспечение и банковское обслуживание системы Единого плательщика) (аппарат)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15 345,5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3 870,0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7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 и услуг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2 300,0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7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фонды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9 175,5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15 345,5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36230</w:t>
            </w:r>
          </w:p>
        </w:tc>
        <w:tc>
          <w:tcPr>
            <w:tcW w:type="dxa" w:w="7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(информационно-коммуникационное обеспечение и банковское обслуживание системы Единого плательщика) (подведомственные учреждения)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5 128,7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837,9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7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 и услуг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906,2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7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фонды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3 384,6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5 128,7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36240</w:t>
            </w:r>
          </w:p>
        </w:tc>
        <w:tc>
          <w:tcPr>
            <w:tcW w:type="dxa" w:w="7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(изготовление полисов ОМС и рецептурных бланков)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200,0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200,0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36310</w:t>
            </w:r>
          </w:p>
        </w:tc>
        <w:tc>
          <w:tcPr>
            <w:tcW w:type="dxa" w:w="7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(страховой запас)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235 316,9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235 316,9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235 316,9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расходы: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19 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985 582,7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7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86 984,6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7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13 417,2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858 293,1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7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 и услуг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10 132,8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7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1 204,3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операционные расходы: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19 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970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032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7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фонды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15 550,7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нефинансовые активы: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15 550,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РАСХОДЫ: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19 985 582,7</w:t>
            </w:r>
          </w:p>
        </w:tc>
      </w:tr>
    </w:tbl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                     ».                        </w:t>
      </w:r>
    </w:p>
    <w:p>
      <w:pPr>
        <w:spacing w:after="16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 Приложение 4</w:t>
      </w:r>
    </w:p>
    <w:p>
      <w:pPr>
        <w:spacing w:after="16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>   «Приложение 5</w:t>
      </w:r>
    </w:p>
    <w:p>
      <w:pPr>
        <w:spacing w:after="160"/>
        <w:jc w:val="right"/>
      </w:pPr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 «О бюджете Фонда обязательного медицинского страхования </w:t>
      </w:r>
    </w:p>
    <w:p>
      <w:pPr>
        <w:spacing w:after="16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 </w:t>
      </w:r>
      <w:r>
        <w:rPr>
          <w:rFonts w:ascii="Arial" w:cs="Arial" w:eastAsia="Arial" w:hAnsi="Arial"/>
          <w:sz w:val="24"/>
          <w:szCs w:val="24"/>
        </w:rPr>
        <w:t xml:space="preserve">Министерстве здравоохранения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на 2021 год и прогнозе на 2022–2023 годы»</w:t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
 Фонда обязательного медицинского страхования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 Министерстве здравоохранения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Кыргызской Республики на 2021 год – Расходы
 </w:t>
      </w:r>
      <w:r>
        <w:rPr>
          <w:rFonts w:ascii="Arial" w:cs="Arial" w:eastAsia="Arial" w:hAnsi="Arial"/>
          <w:sz w:val="24"/>
          <w:szCs w:val="24"/>
        </w:rPr>
        <w:t xml:space="preserve">(по функциональной классификации)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                 (в 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16"/>
        <w:gridCol w:w="7572"/>
        <w:gridCol w:w="1690"/>
      </w:tblGrid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</w:t>
            </w:r>
          </w:p>
        </w:tc>
        <w:tc>
          <w:tcPr>
            <w:tcW w:type="dxa" w:w="7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– Единый плательщик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19 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985 582,7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7071</w:t>
            </w:r>
          </w:p>
        </w:tc>
        <w:tc>
          <w:tcPr>
            <w:tcW w:type="dxa" w:w="7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Медицинские изделия, оборудование и аппаратура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408 745,9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70711</w:t>
            </w:r>
          </w:p>
        </w:tc>
        <w:tc>
          <w:tcPr>
            <w:tcW w:type="dxa" w:w="7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Медицинские изделия, оборудование и аппаратура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408 745,9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408 745,9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льготное лекарственное обеспечение по Программе государственных гарантий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 обеспечению граждан медико-санитарной помощью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55 000,0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льготное лекарственное обеспечение по обязательному медицинскому страхованию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353 745,9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7072</w:t>
            </w:r>
          </w:p>
        </w:tc>
        <w:tc>
          <w:tcPr>
            <w:tcW w:type="dxa" w:w="7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Амбулаторные услуги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10 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494 168,7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70721</w:t>
            </w:r>
          </w:p>
        </w:tc>
        <w:tc>
          <w:tcPr>
            <w:tcW w:type="dxa" w:w="7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Медицинские услуги общего профиля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9 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148 509,7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509,7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70722</w:t>
            </w:r>
          </w:p>
        </w:tc>
        <w:tc>
          <w:tcPr>
            <w:tcW w:type="dxa" w:w="7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Специализированные медицинские услуги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1 133 096,4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1 133 096,4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70723</w:t>
            </w:r>
          </w:p>
        </w:tc>
        <w:tc>
          <w:tcPr>
            <w:tcW w:type="dxa" w:w="7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Стоматологические услуги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562,6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562,6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</w:t>
            </w:r>
          </w:p>
        </w:tc>
        <w:tc>
          <w:tcPr>
            <w:tcW w:type="dxa" w:w="7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больниц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8 024 689,4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70731</w:t>
            </w:r>
          </w:p>
        </w:tc>
        <w:tc>
          <w:tcPr>
            <w:tcW w:type="dxa" w:w="7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больниц общего профиля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4 483 386,3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4 4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83 386,3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70732</w:t>
            </w:r>
          </w:p>
        </w:tc>
        <w:tc>
          <w:tcPr>
            <w:tcW w:type="dxa" w:w="7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специализированных больниц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2 412 989,5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2 412 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989,5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70733</w:t>
            </w:r>
          </w:p>
        </w:tc>
        <w:tc>
          <w:tcPr>
            <w:tcW w:type="dxa" w:w="7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медицинских центров, гинекологических больниц и родильных домов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347 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570,8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347 570,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70735</w:t>
            </w:r>
          </w:p>
        </w:tc>
        <w:tc>
          <w:tcPr>
            <w:tcW w:type="dxa" w:w="7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больниц и центров восстановительного лечения для детей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780 742,8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780 742,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7074</w:t>
            </w:r>
          </w:p>
        </w:tc>
        <w:tc>
          <w:tcPr>
            <w:tcW w:type="dxa" w:w="7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в области здравоохранения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176 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058,5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70741</w:t>
            </w:r>
          </w:p>
        </w:tc>
        <w:tc>
          <w:tcPr>
            <w:tcW w:type="dxa" w:w="7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Станции скорой и неотложной помощи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176 058,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176 058,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7075</w:t>
            </w:r>
          </w:p>
        </w:tc>
        <w:tc>
          <w:tcPr>
            <w:tcW w:type="dxa" w:w="7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Научные исследования и опытно-конструкторские разработки в области здравоохранения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168 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505,7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70751</w:t>
            </w:r>
          </w:p>
        </w:tc>
        <w:tc>
          <w:tcPr>
            <w:tcW w:type="dxa" w:w="7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Научные исследования и опытно-конструкторские разработки в области здравоохранения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168 505,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168 505,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7076</w:t>
            </w:r>
          </w:p>
        </w:tc>
        <w:tc>
          <w:tcPr>
            <w:tcW w:type="dxa" w:w="7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Вопросы здравоохранения, не отнесенные к другим категориям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713 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414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,5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70761</w:t>
            </w:r>
          </w:p>
        </w:tc>
        <w:tc>
          <w:tcPr>
            <w:tcW w:type="dxa" w:w="7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Вопросы здравоохранения, не отнесенные к другим категориям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713 414,5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7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86 984,6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7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13 417,2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586 124,9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7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 и услуг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10 132,8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7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1 204,3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7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фонды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15 550,7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19 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985 582,7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 Приложение 5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«Приложение 6</w:t>
      </w:r>
    </w:p>
    <w:p>
      <w:pPr>
        <w:spacing/>
        <w:jc w:val="right"/>
      </w:pPr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 «О бюджете Фонда обязательного медицинского страхования </w:t>
      </w:r>
    </w:p>
    <w:p>
      <w:pPr>
        <w:spacing/>
        <w:jc w:val="right"/>
      </w:pPr>
      <w:r>
        <w:rPr>
          <w:rFonts w:ascii="Arial" w:cs="Arial" w:eastAsia="Arial" w:hAnsi="Arial"/>
          <w:sz w:val="24"/>
          <w:szCs w:val="24"/>
        </w:rPr>
        <w:t xml:space="preserve">при </w:t>
      </w:r>
      <w:r>
        <w:rPr>
          <w:rFonts w:ascii="Arial" w:cs="Arial" w:eastAsia="Arial" w:hAnsi="Arial"/>
          <w:sz w:val="24"/>
          <w:szCs w:val="24"/>
        </w:rPr>
        <w:t xml:space="preserve">Министерстве здравоохранения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на 2021 год и прогнозе на 2022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2023 годы»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Фонда обязательного медицинского страхования при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Министерстве здравоохранения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Кыргызской Республики на 2021 – 2023 годы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программной основе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(в 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29"/>
        <w:gridCol w:w="755"/>
        <w:gridCol w:w="761"/>
        <w:gridCol w:w="1958"/>
        <w:gridCol w:w="1958"/>
        <w:gridCol w:w="1958"/>
        <w:gridCol w:w="1958"/>
      </w:tblGrid>
      <w:tr>
        <w:tc>
          <w:tcPr>
            <w:tcW w:type="dxa" w:w="8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1. Планирование, управление и администрирование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 Программы: институциональное усиление Фонда обязательного медицинского страхования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Министерстве Кыргызской Республики (далее – Фонд обязательного медицинского страхования)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качестве Единого плательщика. Координирующее и организационное воздействие на реализацию других программ</w:t>
            </w:r>
          </w:p>
        </w:tc>
      </w:tr>
      <w:tr>
        <w:tc>
          <w:tcPr>
            <w:tcW w:type="dxa" w:w="8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общего руководства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2 751,9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2 751,9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2 751,9</w:t>
            </w:r>
          </w:p>
        </w:tc>
      </w:tr>
      <w:tr>
        <w:tc>
          <w:tcPr>
            <w:tcW w:type="dxa" w:w="8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планирования, утверждения и исполнения бюджета Фонда обязательного медицинского страхования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6 695,6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6 695,6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6 695,6</w:t>
            </w:r>
          </w:p>
        </w:tc>
      </w:tr>
      <w:tr>
        <w:tc>
          <w:tcPr>
            <w:tcW w:type="dxa" w:w="8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учета и отчетности по бюджету Фонда обязательного медицинского страхования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1 780,3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1 780,3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1 780,3</w:t>
            </w:r>
          </w:p>
        </w:tc>
      </w:tr>
      <w:tr>
        <w:tc>
          <w:tcPr>
            <w:tcW w:type="dxa" w:w="8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проведения оценки качества медицинских услуг, предоставляемых организациями здравоохранения в системе Единого плательщика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3 070,8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3 070,8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3 070,8</w:t>
            </w:r>
          </w:p>
        </w:tc>
      </w:tr>
      <w:tr>
        <w:tc>
          <w:tcPr>
            <w:tcW w:type="dxa" w:w="8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принятия комплекса мер по эффективному и рациональному исполнению бюджета Фонда обязательного медицинского страхования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3 443,3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3 443,3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3 443,3</w:t>
            </w:r>
          </w:p>
        </w:tc>
      </w:tr>
      <w:tr>
        <w:tc>
          <w:tcPr>
            <w:tcW w:type="dxa" w:w="8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  работы по повышению уровня информированности населения о правах при получении медицинских услуг в рамках реализуемых программ Фондом обязательного медицинского страхования 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3 554,4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3 554,4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3 554,4</w:t>
            </w:r>
          </w:p>
        </w:tc>
      </w:tr>
      <w:tr>
        <w:tc>
          <w:tcPr>
            <w:tcW w:type="dxa" w:w="8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сопровождения информационных систем и баз данных Фонда обязательного медицинского страхования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2 545,3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2 545,3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2 545,3</w:t>
            </w:r>
          </w:p>
        </w:tc>
      </w:tr>
      <w:tr>
        <w:tc>
          <w:tcPr>
            <w:tcW w:type="dxa" w:w="8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информационных систем и баз данных Фонда обязательного медицинского страхования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20 474,2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26 000,0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31 000,0</w:t>
            </w:r>
          </w:p>
        </w:tc>
      </w:tr>
      <w:tr>
        <w:tc>
          <w:tcPr>
            <w:tcW w:type="dxa" w:w="8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деятельности службы обеспечения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29 968,5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36 935,0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36 935,0</w:t>
            </w:r>
          </w:p>
        </w:tc>
      </w:tr>
      <w:tr>
        <w:tc>
          <w:tcPr>
            <w:tcW w:type="dxa" w:w="8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координация на региональном уровне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86 893,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89 223,4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89 223,4</w:t>
            </w:r>
          </w:p>
        </w:tc>
      </w:tr>
      <w:tr>
        <w:tc>
          <w:tcPr>
            <w:tcW w:type="dxa" w:w="8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Программе 1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161 177,7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176 000,0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181 000,0</w:t>
            </w:r>
          </w:p>
        </w:tc>
      </w:tr>
      <w:tr>
        <w:tc>
          <w:tcPr>
            <w:tcW w:type="dxa" w:w="8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2. Предоставление услуг первичной медико-санитарной помощи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 Программы: раннее выявление, диагностика заболеваний, повышение качества и эффективности предоставления медицинской и профилактической помощи на уровне первичной медико-санитарной помощи</w:t>
            </w:r>
          </w:p>
        </w:tc>
      </w:tr>
      <w:tr>
        <w:tc>
          <w:tcPr>
            <w:tcW w:type="dxa" w:w="8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экстренной (скорой) медицинской помощи для населения республики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544 223,3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447 802,4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447802,4</w:t>
            </w:r>
          </w:p>
        </w:tc>
      </w:tr>
      <w:tr>
        <w:tc>
          <w:tcPr>
            <w:tcW w:type="dxa" w:w="8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базовых медицинских услуг на уровне первичной медико-санитарной помощи для населения республики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4 293 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363,9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4 242 152,0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4 291 769,0</w:t>
            </w:r>
          </w:p>
        </w:tc>
      </w:tr>
      <w:tr>
        <w:tc>
          <w:tcPr>
            <w:tcW w:type="dxa" w:w="8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стоматологической помощи для населения республики в рамках Программы государственных гарантий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 обеспечению граждан медико-санитарной помощью (далее – Программа государственных гарантий)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952,5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283 417,5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283 417,5</w:t>
            </w:r>
          </w:p>
        </w:tc>
      </w:tr>
      <w:tr>
        <w:tc>
          <w:tcPr>
            <w:tcW w:type="dxa" w:w="8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медицинской помощи для населения республики  по борьбе с туберкулезом, оказываемой организациями первичной медико-санитарной помощи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36 538,2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33 096,0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33 096,0</w:t>
            </w:r>
          </w:p>
        </w:tc>
      </w:tr>
      <w:tr>
        <w:tc>
          <w:tcPr>
            <w:tcW w:type="dxa" w:w="8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населения республики к льготному лекарственному обеспечению по Программе государственных гарантий (онкологическим больным в терминальной стадии; больным параноидной шизофренией и хроническими бредовыми расстройствами; больным аффективными расстройствами различного генеза; больным эпилепсией; больным бронхиальной астмой)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55 000,0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55 000,0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55 000,0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</w:p>
        </w:tc>
      </w:tr>
      <w:tr>
        <w:tc>
          <w:tcPr>
            <w:tcW w:type="dxa" w:w="8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застрахованного населения республики к льготному лекарственному обеспечению по обязательному медицинскому страхованию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353 745,9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398 557,8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450 091,5</w:t>
            </w:r>
          </w:p>
        </w:tc>
      </w:tr>
      <w:tr>
        <w:tc>
          <w:tcPr>
            <w:tcW w:type="dxa" w:w="8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населению платных медицинских услуг сверх объема Программы государственных гарантий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158 637,3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42 477,4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42 477,4</w:t>
            </w:r>
          </w:p>
        </w:tc>
      </w:tr>
      <w:tr>
        <w:tc>
          <w:tcPr>
            <w:tcW w:type="dxa" w:w="8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немедицинских и иных услуг организациями здравоохранения, работающими в системе Единого плательщика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263 226,2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122 418,2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122 418,2</w:t>
            </w:r>
          </w:p>
        </w:tc>
      </w:tr>
      <w:tr>
        <w:tc>
          <w:tcPr>
            <w:tcW w:type="dxa" w:w="8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предоставления медицинской помощи населению республики путем стимулирования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групп семейных врачей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 достижение целевых показателей качества деятельности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30 430,8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31 536,7</w:t>
            </w:r>
          </w:p>
        </w:tc>
      </w:tr>
      <w:tr>
        <w:tc>
          <w:tcPr>
            <w:tcW w:type="dxa" w:w="8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Программе 2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5 983 788,4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5 655 352,1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5 757 608,6</w:t>
            </w:r>
          </w:p>
        </w:tc>
      </w:tr>
      <w:tr>
        <w:tc>
          <w:tcPr>
            <w:tcW w:type="dxa" w:w="8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3. Предоставление услуг организациями здравоохранения на стационарном уровне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 программы: повышение качества и эффективности предоставления гарантированной медицинской помощи на стационарном уровне в рамках Программы государственных гарантий</w:t>
            </w:r>
          </w:p>
        </w:tc>
      </w:tr>
      <w:tr>
        <w:tc>
          <w:tcPr>
            <w:tcW w:type="dxa" w:w="8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медицинских услуг для населения республики на уровне стационарной помощи в рамках Программы государственных гарантий 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9 371 790,3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6 570 250,8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6 647 097,7</w:t>
            </w:r>
          </w:p>
        </w:tc>
      </w:tr>
      <w:tr>
        <w:tc>
          <w:tcPr>
            <w:tcW w:type="dxa" w:w="8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медицинской помощи для населения республики по борьбе с туберкулезом, оказываемой организациями здравоохранения стационарного уровня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792 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946,8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647 299,4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647 299,4</w:t>
            </w:r>
          </w:p>
        </w:tc>
      </w:tr>
      <w:tr>
        <w:tc>
          <w:tcPr>
            <w:tcW w:type="dxa" w:w="8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медицинских услуг для населения республики на уровне специализирован-ной онкологической и гематологической помощи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351 880,9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230 680,3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230 680,3</w:t>
            </w:r>
          </w:p>
        </w:tc>
      </w:tr>
      <w:tr>
        <w:tc>
          <w:tcPr>
            <w:tcW w:type="dxa" w:w="8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медицинских услуг для населения республики на уровне специализирован-ной кардиохирургичес-кой помощи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0 839,1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51 929,9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51 929,9</w:t>
            </w:r>
          </w:p>
        </w:tc>
      </w:tr>
      <w:tr>
        <w:tc>
          <w:tcPr>
            <w:tcW w:type="dxa" w:w="8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медицинских услуг для населения республики на уровне специализирован-ной психиатрической помощи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822,1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274 574,2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274 574,2</w:t>
            </w:r>
          </w:p>
        </w:tc>
      </w:tr>
      <w:tr>
        <w:tc>
          <w:tcPr>
            <w:tcW w:type="dxa" w:w="8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населению платных медицинских услуг сверх объема Программы государственных гарантий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389 042,5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223 961,4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223 961,4</w:t>
            </w:r>
          </w:p>
        </w:tc>
      </w:tr>
      <w:tr>
        <w:tc>
          <w:tcPr>
            <w:tcW w:type="dxa" w:w="8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немедицинских и иных услуг организациями здравоохранения, работающими в системе Единого плательщика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353 972,6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229 257,4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229 257,4</w:t>
            </w:r>
          </w:p>
        </w:tc>
      </w:tr>
      <w:tr>
        <w:tc>
          <w:tcPr>
            <w:tcW w:type="dxa" w:w="8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предоставления стационарной медицинской помощи населению республики путем стимулирования за достижение целевых показателей качества деятельности организации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30 430,9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31 536,7</w:t>
            </w:r>
          </w:p>
        </w:tc>
      </w:tr>
      <w:tr>
        <w:tc>
          <w:tcPr>
            <w:tcW w:type="dxa" w:w="8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Программе 3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11 638 294,4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8 258 384,3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8 336 337,0</w:t>
            </w:r>
          </w:p>
        </w:tc>
      </w:tr>
      <w:tr>
        <w:tc>
          <w:tcPr>
            <w:tcW w:type="dxa" w:w="8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4. Обеспечение доступности медицинских и иных услуг, оказываемых населению сверх объема Программы государственных гарантий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 Программы: повышение уровня удовлетворенности граждан посредством предоставления расширенного спектра услуг организациями здравоохранения независимо от форм собственности</w:t>
            </w:r>
          </w:p>
        </w:tc>
      </w:tr>
      <w:tr>
        <w:tc>
          <w:tcPr>
            <w:tcW w:type="dxa" w:w="8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к льготному гемодиализному лечению для остронуждающихся пациентов с терминальной стадией хронической почечной недостаточности пятой стадии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1 171 089,6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757 700,0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757 700,0</w:t>
            </w:r>
          </w:p>
        </w:tc>
      </w:tr>
      <w:tr>
        <w:tc>
          <w:tcPr>
            <w:tcW w:type="dxa" w:w="8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финансовой устойчивости и надлежащего функционирования организаций здравоохранения (формирование страхового запаса)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235 316,9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235 600,3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251 034,4</w:t>
            </w:r>
          </w:p>
        </w:tc>
      </w:tr>
      <w:tr>
        <w:tc>
          <w:tcPr>
            <w:tcW w:type="dxa" w:w="8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Поддержка, развитие и материально-техническое оснащение организаций здравоохранения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25 000,0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25 000,0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25 000,0</w:t>
            </w:r>
          </w:p>
        </w:tc>
      </w:tr>
      <w:tr>
        <w:tc>
          <w:tcPr>
            <w:tcW w:type="dxa" w:w="8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онкологической службы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316 818,9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по проекту «Караван здоровья»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12 547,5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Программы, ориентированной на результат (ПОР)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197 244,6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42 000,0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42 000,0</w:t>
            </w:r>
          </w:p>
        </w:tc>
      </w:tr>
      <w:tr>
        <w:tc>
          <w:tcPr>
            <w:tcW w:type="dxa" w:w="8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по проекту Азиатского банка развития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160 826,7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по проекту Всемирного банка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88 4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Программе 4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2 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207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1 060 300,3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1 033 734,4</w:t>
            </w:r>
          </w:p>
        </w:tc>
      </w:tr>
      <w:tr>
        <w:tc>
          <w:tcPr>
            <w:tcW w:type="dxa" w:w="8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19 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985 582,7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15 150 036,7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15 308 680,0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ПР - код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МБ - код меры                                                                                                           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         ».                                        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mkzpnarfchrgd7l-s4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dalil.kg/document/158736</w:t>
      </w:r>
    </w:hyperlink>
  </w:p>
  <w:p>
    <w:pPr>
      <w:spacing w:after="0" w:before="40"/>
      <w:jc w:val="center"/>
    </w:pPr>
    <w:hyperlink w:history="1" r:id="rIdji56p_dkzse8pkrfgf18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mkzpnarfchrgd7l-s4ge" Type="http://schemas.openxmlformats.org/officeDocument/2006/relationships/hyperlink" Target="https://dalil.kg/document/158736" TargetMode="External"/><Relationship Id="rIdji56p_dkzse8pkrfgf18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2026-09-30T21:12:47.167Z</dcterms:created>
  <dcterms:modified xsi:type="dcterms:W3CDTF">2026-09-30T21:12:47.167Z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