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     Приложение 6</w:t>
      </w:r>
    </w:p>
    <w:p>
      <w:pPr>
        <w:spacing w:after="120"/>
        <w:ind w:firstLine="283"/>
        <w:jc w:val="both"/>
      </w:pPr>
      <w:r>
        <w:rPr>
          <w:rFonts w:ascii="Arial" w:cs="Arial" w:eastAsia="Arial" w:hAnsi="Arial"/>
          <w:sz w:val="24"/>
          <w:szCs w:val="24"/>
        </w:rPr>
        <w:t xml:space="preserve"/>
      </w:r>
    </w:p>
    <w:p>
      <w:pPr>
        <w:spacing w:before="200"/>
        <w:ind w:firstLine="283"/>
        <w:jc w:val="center"/>
      </w:pPr>
      <w:r>
        <w:rPr>
          <w:rFonts w:ascii="Arial" w:cs="Arial" w:eastAsia="Arial" w:hAnsi="Arial"/>
          <w:b/>
          <w:bCs/>
          <w:sz w:val="32"/>
          <w:szCs w:val="32"/>
        </w:rPr>
        <w:t xml:space="preserve">Положение</w:t>
      </w:r>
    </w:p>
    <w:p>
      <w:pPr>
        <w:spacing w:before="200"/>
        <w:ind w:firstLine="283"/>
        <w:jc w:val="center"/>
      </w:pPr>
      <w:r>
        <w:rPr>
          <w:rFonts w:ascii="Arial" w:cs="Arial" w:eastAsia="Arial" w:hAnsi="Arial"/>
          <w:b/>
          <w:bCs/>
          <w:sz w:val="32"/>
          <w:szCs w:val="32"/>
        </w:rPr>
        <w:t xml:space="preserve">о Фонде по управлению государственным имуществом при Министерстве экономики и коммерции Кыргызской Республики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Фонда по управлению государственным имуществом при Министерстве экономики и коммерции Кыргызской Республики (далее – Фонд).</w:t>
      </w:r>
    </w:p>
    <w:p>
      <w:pPr>
        <w:spacing w:after="120"/>
        <w:ind w:firstLine="709"/>
        <w:jc w:val="both"/>
      </w:pPr>
      <w:r>
        <w:rPr>
          <w:rFonts w:ascii="Arial" w:cs="Arial" w:eastAsia="Arial" w:hAnsi="Arial"/>
          <w:sz w:val="24"/>
          <w:szCs w:val="24"/>
        </w:rPr>
        <w:t xml:space="preserve">2. Фонд является:</w:t>
      </w:r>
    </w:p>
    <w:p>
      <w:pPr>
        <w:spacing w:after="120"/>
        <w:ind w:firstLine="709"/>
        <w:jc w:val="both"/>
      </w:pPr>
      <w:r>
        <w:rPr>
          <w:rFonts w:ascii="Arial" w:cs="Arial" w:eastAsia="Arial" w:hAnsi="Arial"/>
          <w:sz w:val="24"/>
          <w:szCs w:val="24"/>
        </w:rPr>
        <w:t xml:space="preserve">1) правопреемником Фонда по управлению государственным имуществом при Министерстве инвестиций Кыргызской Республики;</w:t>
      </w:r>
    </w:p>
    <w:p>
      <w:pPr>
        <w:spacing w:after="120"/>
        <w:ind w:firstLine="709"/>
        <w:jc w:val="both"/>
      </w:pPr>
      <w:r>
        <w:rPr>
          <w:rFonts w:ascii="Arial" w:cs="Arial" w:eastAsia="Arial" w:hAnsi="Arial"/>
          <w:sz w:val="24"/>
          <w:szCs w:val="24"/>
        </w:rPr>
        <w:t xml:space="preserve">2) подведомственным подразделением Министерства экономики и коммерции Кыргызской Республики (далее – Министерство), осуществляющим реализацию политики по управлению государственным имуществом.</w:t>
      </w:r>
    </w:p>
    <w:p>
      <w:pPr>
        <w:spacing w:after="120"/>
        <w:ind w:firstLine="709"/>
        <w:jc w:val="both"/>
      </w:pPr>
      <w:r>
        <w:rPr>
          <w:rFonts w:ascii="Arial" w:cs="Arial" w:eastAsia="Arial" w:hAnsi="Arial"/>
          <w:sz w:val="24"/>
          <w:szCs w:val="24"/>
        </w:rPr>
        <w:t xml:space="preserve">Фонд осуществляет управление объектами государственного земельного фонда в случаях и порядке, предусмотренных законодательством о порядке предоставления земельных участков, находящихся в государственной собственности. </w:t>
      </w:r>
    </w:p>
    <w:p>
      <w:pPr>
        <w:spacing w:after="120"/>
        <w:ind w:firstLine="709"/>
        <w:jc w:val="both"/>
      </w:pPr>
      <w:r>
        <w:rPr>
          <w:rFonts w:ascii="Arial" w:cs="Arial" w:eastAsia="Arial" w:hAnsi="Arial"/>
          <w:sz w:val="24"/>
          <w:szCs w:val="24"/>
        </w:rPr>
        <w:t xml:space="preserve">3. Фонд в своей деятельности руководствуется Конституцией и законами Кыргызской Республики, иными нормативными правовыми актами Кыргызской Республики, международными договорами, вступившими в силу в соответствии с законодательством Кыргызской Республики, решениями Министерства и настоящим Положением.</w:t>
      </w:r>
    </w:p>
    <w:p>
      <w:pPr>
        <w:spacing w:after="120"/>
        <w:ind w:firstLine="709"/>
        <w:jc w:val="both"/>
      </w:pPr>
      <w:r>
        <w:rPr>
          <w:rFonts w:ascii="Arial" w:cs="Arial" w:eastAsia="Arial" w:hAnsi="Arial"/>
          <w:sz w:val="24"/>
          <w:szCs w:val="24"/>
        </w:rPr>
        <w:t xml:space="preserve">4. Фонд осуществляет свою деятельность во взаимодействии с государственными органами, органами местного самоуправления, общественными объединениями, научными и иными организациями.</w:t>
      </w:r>
    </w:p>
    <w:p>
      <w:pPr>
        <w:spacing w:after="120"/>
        <w:ind w:firstLine="709"/>
        <w:jc w:val="both"/>
      </w:pPr>
      <w:r>
        <w:rPr>
          <w:rFonts w:ascii="Arial" w:cs="Arial" w:eastAsia="Arial" w:hAnsi="Arial"/>
          <w:sz w:val="24"/>
          <w:szCs w:val="24"/>
        </w:rPr>
        <w:t xml:space="preserve">5. Фонд является юридическим лицом, имеет самостоятельный баланс, расчетные и иные счета в банках и в системе казначейства, печать с изображением Государственного герба Кыргызской Республики </w:t>
      </w:r>
      <w:r>
        <w:rPr>
          <w:rFonts w:ascii="Arial" w:cs="Arial" w:eastAsia="Arial" w:hAnsi="Arial"/>
          <w:sz w:val="24"/>
          <w:szCs w:val="24"/>
        </w:rPr>
        <w:t xml:space="preserve">и </w:t>
      </w:r>
      <w:r>
        <w:rPr>
          <w:rFonts w:ascii="Arial" w:cs="Arial" w:eastAsia="Arial" w:hAnsi="Arial"/>
          <w:sz w:val="24"/>
          <w:szCs w:val="24"/>
        </w:rPr>
        <w:t xml:space="preserve">своим наименованием на государственном и официальном языках, а также иные печати, штампы, бланки установленного образца.</w:t>
      </w:r>
    </w:p>
    <w:p>
      <w:pPr>
        <w:spacing w:after="120"/>
        <w:ind w:firstLine="709"/>
        <w:jc w:val="both"/>
      </w:pPr>
      <w:r>
        <w:rPr>
          <w:rFonts w:ascii="Arial" w:cs="Arial" w:eastAsia="Arial" w:hAnsi="Arial"/>
          <w:sz w:val="24"/>
          <w:szCs w:val="24"/>
        </w:rPr>
        <w:t xml:space="preserve">Организационно-правовая форма Фонда – государственное учреждение, созданное на праве оперативного управления.</w:t>
      </w:r>
    </w:p>
    <w:p>
      <w:pPr>
        <w:spacing w:after="120"/>
        <w:ind w:firstLine="709"/>
        <w:jc w:val="both"/>
      </w:pPr>
      <w:r>
        <w:rPr>
          <w:rFonts w:ascii="Arial" w:cs="Arial" w:eastAsia="Arial" w:hAnsi="Arial"/>
          <w:sz w:val="24"/>
          <w:szCs w:val="24"/>
        </w:rPr>
        <w:t xml:space="preserve">6. Полное фирменное наименование Фонда:</w:t>
      </w:r>
    </w:p>
    <w:p>
      <w:pPr>
        <w:spacing w:after="120"/>
        <w:ind w:firstLine="709"/>
        <w:jc w:val="both"/>
      </w:pPr>
      <w:r>
        <w:rPr>
          <w:rFonts w:ascii="Arial" w:cs="Arial" w:eastAsia="Arial" w:hAnsi="Arial"/>
          <w:sz w:val="24"/>
          <w:szCs w:val="24"/>
        </w:rPr>
        <w:t xml:space="preserve">– на государственном языке: «Кыргыз Республикасынын Экономика жана коммерция министрлигине караштуу Мамлекеттик мүлктү башкаруу боюнча фонд»;</w:t>
      </w:r>
    </w:p>
    <w:p>
      <w:pPr>
        <w:spacing w:after="120"/>
        <w:ind w:firstLine="709"/>
        <w:jc w:val="both"/>
      </w:pPr>
      <w:r>
        <w:rPr>
          <w:rFonts w:ascii="Arial" w:cs="Arial" w:eastAsia="Arial" w:hAnsi="Arial"/>
          <w:sz w:val="24"/>
          <w:szCs w:val="24"/>
        </w:rPr>
        <w:t xml:space="preserve">– на официальном языке: «Фонд по управлению государственным имуществом при Министерстве экономики и коммерции Кыргызской Республики».</w:t>
      </w:r>
    </w:p>
    <w:p>
      <w:pPr>
        <w:spacing w:after="120"/>
        <w:ind w:firstLine="709"/>
        <w:jc w:val="both"/>
      </w:pPr>
      <w:r>
        <w:rPr>
          <w:rFonts w:ascii="Arial" w:cs="Arial" w:eastAsia="Arial" w:hAnsi="Arial"/>
          <w:sz w:val="24"/>
          <w:szCs w:val="24"/>
        </w:rPr>
        <w:t xml:space="preserve">7. Сокращенное фирменное наименование Фонда:</w:t>
      </w:r>
    </w:p>
    <w:p>
      <w:pPr>
        <w:spacing w:after="120"/>
        <w:ind w:firstLine="709"/>
        <w:jc w:val="both"/>
      </w:pPr>
      <w:r>
        <w:rPr>
          <w:rFonts w:ascii="Arial" w:cs="Arial" w:eastAsia="Arial" w:hAnsi="Arial"/>
          <w:sz w:val="24"/>
          <w:szCs w:val="24"/>
        </w:rPr>
        <w:t xml:space="preserve">– на государственном языке: «Мамлекеттик мүлктү башкаруу боюнча фонд»;</w:t>
      </w:r>
    </w:p>
    <w:p>
      <w:pPr>
        <w:spacing w:after="120"/>
        <w:ind w:firstLine="709"/>
        <w:jc w:val="both"/>
      </w:pPr>
      <w:r>
        <w:rPr>
          <w:rFonts w:ascii="Arial" w:cs="Arial" w:eastAsia="Arial" w:hAnsi="Arial"/>
          <w:sz w:val="24"/>
          <w:szCs w:val="24"/>
        </w:rPr>
        <w:t xml:space="preserve">– на официальном языке: «Фонд по управлению государственным имуществом».</w:t>
      </w:r>
    </w:p>
    <w:p>
      <w:pPr>
        <w:spacing w:after="120"/>
        <w:ind w:firstLine="709"/>
        <w:jc w:val="both"/>
      </w:pPr>
      <w:r>
        <w:rPr>
          <w:rFonts w:ascii="Arial" w:cs="Arial" w:eastAsia="Arial" w:hAnsi="Arial"/>
          <w:sz w:val="24"/>
          <w:szCs w:val="24"/>
        </w:rPr>
        <w:t xml:space="preserve">8. Юридический адрес Фонда: 720017, Кыргызская Республика, город Бишкек, улица Московская, 151.</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Цель деятельности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Целью деятельности Фонда является эффективное использование, управление и приватизация государственного имущества.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Задачи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Задачами Фонда являются:</w:t>
      </w:r>
    </w:p>
    <w:p>
      <w:pPr>
        <w:spacing w:after="120"/>
        <w:ind w:firstLine="709"/>
        <w:jc w:val="both"/>
      </w:pPr>
      <w:r>
        <w:rPr>
          <w:rFonts w:ascii="Arial" w:cs="Arial" w:eastAsia="Arial" w:hAnsi="Arial"/>
          <w:sz w:val="24"/>
          <w:szCs w:val="24"/>
        </w:rPr>
        <w:t xml:space="preserve">1) реализация политики управления государственным имуществом;</w:t>
      </w:r>
    </w:p>
    <w:p>
      <w:pPr>
        <w:spacing w:after="120"/>
        <w:ind w:firstLine="709"/>
        <w:jc w:val="both"/>
      </w:pPr>
      <w:r>
        <w:rPr>
          <w:rFonts w:ascii="Arial" w:cs="Arial" w:eastAsia="Arial" w:hAnsi="Arial"/>
          <w:sz w:val="24"/>
          <w:szCs w:val="24"/>
        </w:rPr>
        <w:t xml:space="preserve">2) учет государственного имущества;</w:t>
      </w:r>
    </w:p>
    <w:p>
      <w:pPr>
        <w:spacing w:after="120"/>
        <w:ind w:firstLine="709"/>
        <w:jc w:val="both"/>
      </w:pPr>
      <w:r>
        <w:rPr>
          <w:rFonts w:ascii="Arial" w:cs="Arial" w:eastAsia="Arial" w:hAnsi="Arial"/>
          <w:sz w:val="24"/>
          <w:szCs w:val="24"/>
        </w:rPr>
        <w:t xml:space="preserve">3) повышение эффективности корпоративного управления на государственных предприятиях и хозяйственных обществах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4) обеспечение защиты имущественных прав и интересов Кыргызской Республики.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Функции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Фонд осуществляет следующие функции:</w:t>
      </w:r>
    </w:p>
    <w:p>
      <w:pPr>
        <w:spacing w:after="120"/>
        <w:ind w:firstLine="709"/>
        <w:jc w:val="both"/>
      </w:pPr>
      <w:r>
        <w:rPr>
          <w:rFonts w:ascii="Arial" w:cs="Arial" w:eastAsia="Arial" w:hAnsi="Arial"/>
          <w:sz w:val="24"/>
          <w:szCs w:val="24"/>
        </w:rPr>
        <w:t xml:space="preserve">1) функции по реализации отраслевой политики:</w:t>
      </w:r>
    </w:p>
    <w:p>
      <w:pPr>
        <w:spacing w:after="120"/>
        <w:ind w:firstLine="709"/>
        <w:jc w:val="both"/>
      </w:pPr>
      <w:r>
        <w:rPr>
          <w:rFonts w:ascii="Arial" w:cs="Arial" w:eastAsia="Arial" w:hAnsi="Arial"/>
          <w:sz w:val="24"/>
          <w:szCs w:val="24"/>
        </w:rPr>
        <w:t xml:space="preserve">– организация учета основных средств государственных предприятий и учреждений с государственной формой собственности; </w:t>
      </w:r>
    </w:p>
    <w:p>
      <w:pPr>
        <w:spacing w:after="120"/>
        <w:ind w:firstLine="709"/>
        <w:jc w:val="both"/>
      </w:pPr>
      <w:r>
        <w:rPr>
          <w:rFonts w:ascii="Arial" w:cs="Arial" w:eastAsia="Arial" w:hAnsi="Arial"/>
          <w:sz w:val="24"/>
          <w:szCs w:val="24"/>
        </w:rPr>
        <w:t xml:space="preserve">– разработка проектов методических и нормативных документов по организации учета государственного имущества и представление их в Министерство для утверждения и последующего применения;</w:t>
      </w:r>
    </w:p>
    <w:p>
      <w:pPr>
        <w:spacing w:after="120"/>
        <w:ind w:firstLine="709"/>
        <w:jc w:val="both"/>
      </w:pPr>
      <w:r>
        <w:rPr>
          <w:rFonts w:ascii="Arial" w:cs="Arial" w:eastAsia="Arial" w:hAnsi="Arial"/>
          <w:sz w:val="24"/>
          <w:szCs w:val="24"/>
        </w:rPr>
        <w:t xml:space="preserve">– формирование перечня объектов государственной собственности для включения в проект программы приватизации государственного имущества;</w:t>
      </w:r>
    </w:p>
    <w:p>
      <w:pPr>
        <w:spacing w:after="120"/>
        <w:ind w:firstLine="709"/>
        <w:jc w:val="both"/>
      </w:pPr>
      <w:r>
        <w:rPr>
          <w:rFonts w:ascii="Arial" w:cs="Arial" w:eastAsia="Arial" w:hAnsi="Arial"/>
          <w:sz w:val="24"/>
          <w:szCs w:val="24"/>
        </w:rPr>
        <w:t xml:space="preserve">– формирование и предоставление в Министерство перечня объектов государственной собственности для инициирования инвестиционных и коммерческих проектов, а также проектов государственно-частного партнерства; </w:t>
      </w:r>
    </w:p>
    <w:p>
      <w:pPr>
        <w:spacing w:after="120"/>
        <w:ind w:firstLine="709"/>
        <w:jc w:val="both"/>
      </w:pPr>
      <w:r>
        <w:rPr>
          <w:rFonts w:ascii="Arial" w:cs="Arial" w:eastAsia="Arial" w:hAnsi="Arial"/>
          <w:sz w:val="24"/>
          <w:szCs w:val="24"/>
        </w:rPr>
        <w:t xml:space="preserve">– принятие в установленном порядке мер по созданию, реорганизации и ликвидации государственных предприятий, хозяйственных обществ с государственной долей участия;</w:t>
      </w:r>
    </w:p>
    <w:p>
      <w:pPr>
        <w:spacing w:after="120"/>
        <w:ind w:firstLine="709"/>
        <w:jc w:val="both"/>
      </w:pPr>
      <w:r>
        <w:rPr>
          <w:rFonts w:ascii="Arial" w:cs="Arial" w:eastAsia="Arial" w:hAnsi="Arial"/>
          <w:sz w:val="24"/>
          <w:szCs w:val="24"/>
        </w:rPr>
        <w:t xml:space="preserve">– осуществление в установленном порядке передачи государственного имущества в хозяйственное ведение, оперативное управление, пользование и доверительное управление;</w:t>
      </w:r>
    </w:p>
    <w:p>
      <w:pPr>
        <w:spacing w:after="120"/>
        <w:ind w:firstLine="709"/>
        <w:jc w:val="both"/>
      </w:pPr>
      <w:r>
        <w:rPr>
          <w:rFonts w:ascii="Arial" w:cs="Arial" w:eastAsia="Arial" w:hAnsi="Arial"/>
          <w:sz w:val="24"/>
          <w:szCs w:val="24"/>
        </w:rPr>
        <w:t xml:space="preserve">– осуществление практических мер по передаче объектов государственной собственности органам местного самоуправления;</w:t>
      </w:r>
    </w:p>
    <w:p>
      <w:pPr>
        <w:spacing w:after="120"/>
        <w:ind w:firstLine="709"/>
        <w:jc w:val="both"/>
      </w:pPr>
      <w:r>
        <w:rPr>
          <w:rFonts w:ascii="Arial" w:cs="Arial" w:eastAsia="Arial" w:hAnsi="Arial"/>
          <w:sz w:val="24"/>
          <w:szCs w:val="24"/>
        </w:rPr>
        <w:t xml:space="preserve">– осуществление практических мер по приватизации государственного имущества;</w:t>
      </w:r>
    </w:p>
    <w:p>
      <w:pPr>
        <w:spacing w:after="120"/>
        <w:ind w:firstLine="709"/>
        <w:jc w:val="both"/>
      </w:pPr>
      <w:r>
        <w:rPr>
          <w:rFonts w:ascii="Arial" w:cs="Arial" w:eastAsia="Arial" w:hAnsi="Arial"/>
          <w:sz w:val="24"/>
          <w:szCs w:val="24"/>
        </w:rPr>
        <w:t xml:space="preserve">– осуществление практических мер по преобразованию государственных предприятий в хозяйственные общества;</w:t>
      </w:r>
    </w:p>
    <w:p>
      <w:pPr>
        <w:spacing w:after="120"/>
        <w:ind w:firstLine="709"/>
        <w:jc w:val="both"/>
      </w:pPr>
      <w:r>
        <w:rPr>
          <w:rFonts w:ascii="Arial" w:cs="Arial" w:eastAsia="Arial" w:hAnsi="Arial"/>
          <w:sz w:val="24"/>
          <w:szCs w:val="24"/>
        </w:rPr>
        <w:t xml:space="preserve">– разработка проектов об определении порядка начисления арендной платы за пользование государственным имуществом;</w:t>
      </w:r>
    </w:p>
    <w:p>
      <w:pPr>
        <w:spacing w:after="120"/>
        <w:ind w:firstLine="709"/>
        <w:jc w:val="both"/>
      </w:pPr>
      <w:r>
        <w:rPr>
          <w:rFonts w:ascii="Arial" w:cs="Arial" w:eastAsia="Arial" w:hAnsi="Arial"/>
          <w:sz w:val="24"/>
          <w:szCs w:val="24"/>
        </w:rPr>
        <w:t xml:space="preserve">– организация процесса сдачи государственного имущества в аренду;</w:t>
      </w:r>
    </w:p>
    <w:p>
      <w:pPr>
        <w:spacing w:after="120"/>
        <w:ind w:firstLine="709"/>
        <w:jc w:val="both"/>
      </w:pPr>
      <w:r>
        <w:rPr>
          <w:rFonts w:ascii="Arial" w:cs="Arial" w:eastAsia="Arial" w:hAnsi="Arial"/>
          <w:sz w:val="24"/>
          <w:szCs w:val="24"/>
        </w:rPr>
        <w:t xml:space="preserve">2) функции регулирования:</w:t>
      </w:r>
    </w:p>
    <w:p>
      <w:pPr>
        <w:spacing w:after="120"/>
        <w:ind w:firstLine="709"/>
        <w:jc w:val="both"/>
      </w:pPr>
      <w:r>
        <w:rPr>
          <w:rFonts w:ascii="Arial" w:cs="Arial" w:eastAsia="Arial" w:hAnsi="Arial"/>
          <w:sz w:val="24"/>
          <w:szCs w:val="24"/>
        </w:rPr>
        <w:t xml:space="preserve">– ведение реестра государственных предприятий, хозяйственных обществ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 ведение реестра государственного имущества;</w:t>
      </w:r>
    </w:p>
    <w:p>
      <w:pPr>
        <w:spacing w:after="120"/>
        <w:ind w:firstLine="709"/>
        <w:jc w:val="both"/>
      </w:pPr>
      <w:r>
        <w:rPr>
          <w:rFonts w:ascii="Arial" w:cs="Arial" w:eastAsia="Arial" w:hAnsi="Arial"/>
          <w:sz w:val="24"/>
          <w:szCs w:val="24"/>
        </w:rPr>
        <w:t xml:space="preserve">– ведение реестра объектов социально-культурного и бытового назначения, находящихся на ответственном хранении хозяйствующих субъектов;</w:t>
      </w:r>
    </w:p>
    <w:p>
      <w:pPr>
        <w:spacing w:after="120"/>
        <w:ind w:firstLine="709"/>
        <w:jc w:val="both"/>
      </w:pPr>
      <w:r>
        <w:rPr>
          <w:rFonts w:ascii="Arial" w:cs="Arial" w:eastAsia="Arial" w:hAnsi="Arial"/>
          <w:sz w:val="24"/>
          <w:szCs w:val="24"/>
        </w:rPr>
        <w:t xml:space="preserve">– ведение реестра приватизированных объектов;</w:t>
      </w:r>
    </w:p>
    <w:p>
      <w:pPr>
        <w:spacing w:after="120"/>
        <w:ind w:firstLine="709"/>
        <w:jc w:val="both"/>
      </w:pPr>
      <w:r>
        <w:rPr>
          <w:rFonts w:ascii="Arial" w:cs="Arial" w:eastAsia="Arial" w:hAnsi="Arial"/>
          <w:sz w:val="24"/>
          <w:szCs w:val="24"/>
        </w:rPr>
        <w:t xml:space="preserve">– ведение реестра договоров безвозмездного временного пользования и доверительного управления государственным имуществом;</w:t>
      </w:r>
    </w:p>
    <w:p>
      <w:pPr>
        <w:spacing w:after="120"/>
        <w:ind w:firstLine="709"/>
        <w:jc w:val="both"/>
      </w:pPr>
      <w:r>
        <w:rPr>
          <w:rFonts w:ascii="Arial" w:cs="Arial" w:eastAsia="Arial" w:hAnsi="Arial"/>
          <w:sz w:val="24"/>
          <w:szCs w:val="24"/>
        </w:rPr>
        <w:t xml:space="preserve">– осуществление полномочий учредителя, участника (акционера) в хозяйственных обществах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 осуществление мер по улучшению корпоративного управления в хозяйственных обществах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 организация отбора и выдвижение членов органов управления хозяйственных обществ с государственной долей участия в уставном капитале и руководителей государственных предприятий;</w:t>
      </w:r>
    </w:p>
    <w:p>
      <w:pPr>
        <w:spacing w:after="120"/>
        <w:ind w:firstLine="709"/>
        <w:jc w:val="both"/>
      </w:pPr>
      <w:r>
        <w:rPr>
          <w:rFonts w:ascii="Arial" w:cs="Arial" w:eastAsia="Arial" w:hAnsi="Arial"/>
          <w:sz w:val="24"/>
          <w:szCs w:val="24"/>
        </w:rPr>
        <w:t xml:space="preserve">– утверждение типового договора с представителем государства в органах управления хозяйственных обществ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 осуществление практических мер по принятию имущества, перешедшего в государственную собственность, по основаниям, предусмотренным гражданским законодательством Кыргызской Республики, законодательством Кыргызской Республики о нарушениях и проступках, уголовным и уголовно-процессуальным законодательством Кыргызской Республики;</w:t>
      </w:r>
    </w:p>
    <w:p>
      <w:pPr>
        <w:spacing w:after="120"/>
        <w:ind w:firstLine="709"/>
        <w:jc w:val="both"/>
      </w:pPr>
      <w:r>
        <w:rPr>
          <w:rFonts w:ascii="Arial" w:cs="Arial" w:eastAsia="Arial" w:hAnsi="Arial"/>
          <w:sz w:val="24"/>
          <w:szCs w:val="24"/>
        </w:rPr>
        <w:t xml:space="preserve">– регистрация договоров безвозмездного временного пользования государственным имуществом;</w:t>
      </w:r>
    </w:p>
    <w:p>
      <w:pPr>
        <w:spacing w:after="120"/>
        <w:ind w:firstLine="709"/>
        <w:jc w:val="both"/>
      </w:pPr>
      <w:r>
        <w:rPr>
          <w:rFonts w:ascii="Arial" w:cs="Arial" w:eastAsia="Arial" w:hAnsi="Arial"/>
          <w:sz w:val="24"/>
          <w:szCs w:val="24"/>
        </w:rPr>
        <w:t xml:space="preserve">– дача согласия государственным предприятиям на списание основных средств в установленном порядке;</w:t>
      </w:r>
    </w:p>
    <w:p>
      <w:pPr>
        <w:spacing w:after="120"/>
        <w:ind w:firstLine="709"/>
        <w:jc w:val="both"/>
      </w:pPr>
      <w:r>
        <w:rPr>
          <w:rFonts w:ascii="Arial" w:cs="Arial" w:eastAsia="Arial" w:hAnsi="Arial"/>
          <w:sz w:val="24"/>
          <w:szCs w:val="24"/>
        </w:rPr>
        <w:t xml:space="preserve">– согласование структуры и штатного расписания государственных предприятий;</w:t>
      </w:r>
    </w:p>
    <w:p>
      <w:pPr>
        <w:spacing w:after="120"/>
        <w:ind w:firstLine="709"/>
        <w:jc w:val="both"/>
      </w:pPr>
      <w:r>
        <w:rPr>
          <w:rFonts w:ascii="Arial" w:cs="Arial" w:eastAsia="Arial" w:hAnsi="Arial"/>
          <w:sz w:val="24"/>
          <w:szCs w:val="24"/>
        </w:rPr>
        <w:t xml:space="preserve">– утверждение годового бюджета, отчета об итогах финансово-хозяйственной деятельности государственных предприятий;</w:t>
      </w:r>
    </w:p>
    <w:p>
      <w:pPr>
        <w:spacing w:after="120"/>
        <w:ind w:firstLine="709"/>
        <w:jc w:val="both"/>
      </w:pPr>
      <w:r>
        <w:rPr>
          <w:rFonts w:ascii="Arial" w:cs="Arial" w:eastAsia="Arial" w:hAnsi="Arial"/>
          <w:sz w:val="24"/>
          <w:szCs w:val="24"/>
        </w:rPr>
        <w:t xml:space="preserve">– утверждение размера части чистой прибыли государственных предприятий, подлежащей перечислению в республиканский бюджет;</w:t>
      </w:r>
    </w:p>
    <w:p>
      <w:pPr>
        <w:spacing w:after="120"/>
        <w:ind w:firstLine="709"/>
        <w:jc w:val="both"/>
      </w:pPr>
      <w:r>
        <w:rPr>
          <w:rFonts w:ascii="Arial" w:cs="Arial" w:eastAsia="Arial" w:hAnsi="Arial"/>
          <w:sz w:val="24"/>
          <w:szCs w:val="24"/>
        </w:rPr>
        <w:t xml:space="preserve">– утверждение ключевых показателей эффективности деятельности директоров государственных предприятий и их заместителей;</w:t>
      </w:r>
    </w:p>
    <w:p>
      <w:pPr>
        <w:spacing w:after="120"/>
        <w:ind w:firstLine="709"/>
        <w:jc w:val="both"/>
      </w:pPr>
      <w:r>
        <w:rPr>
          <w:rFonts w:ascii="Arial" w:cs="Arial" w:eastAsia="Arial" w:hAnsi="Arial"/>
          <w:sz w:val="24"/>
          <w:szCs w:val="24"/>
        </w:rPr>
        <w:t xml:space="preserve">– оценка деятельности руководителей государственных предприятий и представителей государства в органах управления хозяйственных обществ с государственной долей в уставном капитале;</w:t>
      </w:r>
    </w:p>
    <w:p>
      <w:pPr>
        <w:spacing w:after="120"/>
        <w:ind w:firstLine="709"/>
        <w:jc w:val="both"/>
      </w:pPr>
      <w:r>
        <w:rPr>
          <w:rFonts w:ascii="Arial" w:cs="Arial" w:eastAsia="Arial" w:hAnsi="Arial"/>
          <w:sz w:val="24"/>
          <w:szCs w:val="24"/>
        </w:rPr>
        <w:t xml:space="preserve">– утверждение порядка выплаты вознаграждения директорам государственных предприятий и их заместителям;</w:t>
      </w:r>
    </w:p>
    <w:p>
      <w:pPr>
        <w:spacing w:after="120"/>
        <w:ind w:firstLine="709"/>
        <w:jc w:val="both"/>
      </w:pPr>
      <w:r>
        <w:rPr>
          <w:rFonts w:ascii="Arial" w:cs="Arial" w:eastAsia="Arial" w:hAnsi="Arial"/>
          <w:sz w:val="24"/>
          <w:szCs w:val="24"/>
        </w:rPr>
        <w:t xml:space="preserve">– утверждение типового устава государственных предприятий;</w:t>
      </w:r>
    </w:p>
    <w:p>
      <w:pPr>
        <w:spacing w:after="120"/>
        <w:ind w:firstLine="709"/>
        <w:jc w:val="both"/>
      </w:pPr>
      <w:r>
        <w:rPr>
          <w:rFonts w:ascii="Arial" w:cs="Arial" w:eastAsia="Arial" w:hAnsi="Arial"/>
          <w:sz w:val="24"/>
          <w:szCs w:val="24"/>
        </w:rPr>
        <w:t xml:space="preserve">3) функции координации, контроля и мониторинга:</w:t>
      </w:r>
    </w:p>
    <w:p>
      <w:pPr>
        <w:spacing w:after="120"/>
        <w:ind w:firstLine="709"/>
        <w:jc w:val="both"/>
      </w:pPr>
      <w:r>
        <w:rPr>
          <w:rFonts w:ascii="Arial" w:cs="Arial" w:eastAsia="Arial" w:hAnsi="Arial"/>
          <w:sz w:val="24"/>
          <w:szCs w:val="24"/>
        </w:rPr>
        <w:t xml:space="preserve">– контроль и координация деятельности организаций, входящих в сферу ведения Фонда;</w:t>
      </w:r>
    </w:p>
    <w:p>
      <w:pPr>
        <w:spacing w:after="120"/>
        <w:ind w:firstLine="709"/>
        <w:jc w:val="both"/>
      </w:pPr>
      <w:r>
        <w:rPr>
          <w:rFonts w:ascii="Arial" w:cs="Arial" w:eastAsia="Arial" w:hAnsi="Arial"/>
          <w:sz w:val="24"/>
          <w:szCs w:val="24"/>
        </w:rPr>
        <w:t xml:space="preserve">– мониторинг и анализ финансово-хозяйственной деятельности государственных предприятий, хозяйственных обществ с государственной долей в уставном капитале и организаций, входящих в сферу ведения Фонда;</w:t>
      </w:r>
    </w:p>
    <w:p>
      <w:pPr>
        <w:spacing w:after="120"/>
        <w:ind w:firstLine="709"/>
        <w:jc w:val="both"/>
      </w:pPr>
      <w:r>
        <w:rPr>
          <w:rFonts w:ascii="Arial" w:cs="Arial" w:eastAsia="Arial" w:hAnsi="Arial"/>
          <w:sz w:val="24"/>
          <w:szCs w:val="24"/>
        </w:rPr>
        <w:t xml:space="preserve">– контроль и мониторинг предоставления государственного имущества в аренду; </w:t>
      </w:r>
    </w:p>
    <w:p>
      <w:pPr>
        <w:spacing w:after="120"/>
        <w:ind w:firstLine="709"/>
        <w:jc w:val="both"/>
      </w:pPr>
      <w:r>
        <w:rPr>
          <w:rFonts w:ascii="Arial" w:cs="Arial" w:eastAsia="Arial" w:hAnsi="Arial"/>
          <w:sz w:val="24"/>
          <w:szCs w:val="24"/>
        </w:rPr>
        <w:t xml:space="preserve">– ведение учета отчислений от части прибыли государственных предприятий, осуществление контроля и мер по обеспечению их своевременной выплаты в республиканский бюджет;</w:t>
      </w:r>
    </w:p>
    <w:p>
      <w:pPr>
        <w:spacing w:after="120"/>
        <w:ind w:firstLine="709"/>
        <w:jc w:val="both"/>
      </w:pPr>
      <w:r>
        <w:rPr>
          <w:rFonts w:ascii="Arial" w:cs="Arial" w:eastAsia="Arial" w:hAnsi="Arial"/>
          <w:sz w:val="24"/>
          <w:szCs w:val="24"/>
        </w:rPr>
        <w:t xml:space="preserve">– ведение учета дивидендов, причитающихся на государственную долю в уставном капитале хозяйственных обществ, осуществление контроля и мер по обеспечению их своевременной выплаты в республиканский бюджет;</w:t>
      </w:r>
    </w:p>
    <w:p>
      <w:pPr>
        <w:spacing w:after="120"/>
        <w:ind w:firstLine="709"/>
        <w:jc w:val="both"/>
      </w:pPr>
      <w:r>
        <w:rPr>
          <w:rFonts w:ascii="Arial" w:cs="Arial" w:eastAsia="Arial" w:hAnsi="Arial"/>
          <w:sz w:val="24"/>
          <w:szCs w:val="24"/>
        </w:rPr>
        <w:t xml:space="preserve">– ведение учета поступлений от приватизации государственного имущества, осуществление контроля и мер по обеспечению их своевременной выплаты в республиканский бюджет;</w:t>
      </w:r>
    </w:p>
    <w:p>
      <w:pPr>
        <w:spacing w:after="120"/>
        <w:ind w:firstLine="709"/>
        <w:jc w:val="both"/>
      </w:pPr>
      <w:r>
        <w:rPr>
          <w:rFonts w:ascii="Arial" w:cs="Arial" w:eastAsia="Arial" w:hAnsi="Arial"/>
          <w:sz w:val="24"/>
          <w:szCs w:val="24"/>
        </w:rPr>
        <w:t xml:space="preserve">– осуществление контроля и мер по обеспечению своевременной выплаты арендных платежей в республиканский бюджет;</w:t>
      </w:r>
    </w:p>
    <w:p>
      <w:pPr>
        <w:spacing w:after="120"/>
        <w:ind w:firstLine="709"/>
        <w:jc w:val="both"/>
      </w:pPr>
      <w:r>
        <w:rPr>
          <w:rFonts w:ascii="Arial" w:cs="Arial" w:eastAsia="Arial" w:hAnsi="Arial"/>
          <w:sz w:val="24"/>
          <w:szCs w:val="24"/>
        </w:rPr>
        <w:t xml:space="preserve">– мониторинг расценок рыночной арендной платы для разработки проектов об определении порядка начисления арендной платы за пользование государственным имуществом;</w:t>
      </w:r>
    </w:p>
    <w:p>
      <w:pPr>
        <w:spacing w:after="120"/>
        <w:ind w:firstLine="709"/>
        <w:jc w:val="both"/>
      </w:pPr>
      <w:r>
        <w:rPr>
          <w:rFonts w:ascii="Arial" w:cs="Arial" w:eastAsia="Arial" w:hAnsi="Arial"/>
          <w:sz w:val="24"/>
          <w:szCs w:val="24"/>
        </w:rPr>
        <w:t xml:space="preserve">– определение ключевых показателей эффективности деятельности государственных предприятий и хозяйственных обществ с государственной долей в уставном капитале, мониторинг и оценка достижения указанных показателей;</w:t>
      </w:r>
    </w:p>
    <w:p>
      <w:pPr>
        <w:spacing w:after="120"/>
        <w:ind w:firstLine="709"/>
        <w:jc w:val="both"/>
      </w:pPr>
      <w:r>
        <w:rPr>
          <w:rFonts w:ascii="Arial" w:cs="Arial" w:eastAsia="Arial" w:hAnsi="Arial"/>
          <w:sz w:val="24"/>
          <w:szCs w:val="24"/>
        </w:rPr>
        <w:t xml:space="preserve">– выявление неиспользуемых и простаивающих государственных объектов недвижимости для принятия мер по их дальнейшему эффективному использованию;</w:t>
      </w:r>
    </w:p>
    <w:p>
      <w:pPr>
        <w:spacing w:after="120"/>
        <w:ind w:firstLine="709"/>
        <w:jc w:val="both"/>
      </w:pPr>
      <w:r>
        <w:rPr>
          <w:rFonts w:ascii="Arial" w:cs="Arial" w:eastAsia="Arial" w:hAnsi="Arial"/>
          <w:sz w:val="24"/>
          <w:szCs w:val="24"/>
        </w:rPr>
        <w:t xml:space="preserve">– выявление случаев предоставления государственными предприятиями и учреждениями с государственной формой собственности государственного имущества в аренду, регистрация договора аренды по которому не была произведена в Фонде;</w:t>
      </w:r>
    </w:p>
    <w:p>
      <w:pPr>
        <w:spacing w:after="120"/>
        <w:ind w:firstLine="709"/>
        <w:jc w:val="both"/>
      </w:pPr>
      <w:r>
        <w:rPr>
          <w:rFonts w:ascii="Arial" w:cs="Arial" w:eastAsia="Arial" w:hAnsi="Arial"/>
          <w:sz w:val="24"/>
          <w:szCs w:val="24"/>
        </w:rPr>
        <w:t xml:space="preserve">4) функции поддержки:</w:t>
      </w:r>
    </w:p>
    <w:p>
      <w:pPr>
        <w:spacing w:after="120"/>
        <w:ind w:firstLine="709"/>
        <w:jc w:val="both"/>
      </w:pPr>
      <w:r>
        <w:rPr>
          <w:rFonts w:ascii="Arial" w:cs="Arial" w:eastAsia="Arial" w:hAnsi="Arial"/>
          <w:sz w:val="24"/>
          <w:szCs w:val="24"/>
        </w:rPr>
        <w:t xml:space="preserve">– информационное освещение вопросов управления и учета государственного имущества;</w:t>
      </w:r>
    </w:p>
    <w:p>
      <w:pPr>
        <w:spacing w:after="120"/>
        <w:ind w:firstLine="709"/>
        <w:jc w:val="both"/>
      </w:pPr>
      <w:r>
        <w:rPr>
          <w:rFonts w:ascii="Arial" w:cs="Arial" w:eastAsia="Arial" w:hAnsi="Arial"/>
          <w:sz w:val="24"/>
          <w:szCs w:val="24"/>
        </w:rPr>
        <w:t xml:space="preserve">– обеспечение открытого доступа к информации о результатах финансово-хозяйственной деятельности государственных предприятий и хозяйственных обществ с государственной долей в уставном капитале (за исключением информации, относящейся к коммерческой и другой охраняемой законом тайне);</w:t>
      </w:r>
    </w:p>
    <w:p>
      <w:pPr>
        <w:spacing w:after="120"/>
        <w:ind w:firstLine="709"/>
        <w:jc w:val="both"/>
      </w:pPr>
      <w:r>
        <w:rPr>
          <w:rFonts w:ascii="Arial" w:cs="Arial" w:eastAsia="Arial" w:hAnsi="Arial"/>
          <w:sz w:val="24"/>
          <w:szCs w:val="24"/>
        </w:rPr>
        <w:t xml:space="preserve">– обеспечение открытого доступа предпринимателей к одобренному Министерством перечню объектов государственной собственности, предлагаемых для инвестиционных и коммерческих проектов, а также проектов государственно-частного партнерства; </w:t>
      </w:r>
    </w:p>
    <w:p>
      <w:pPr>
        <w:spacing w:after="120"/>
        <w:ind w:firstLine="709"/>
        <w:jc w:val="both"/>
      </w:pPr>
      <w:r>
        <w:rPr>
          <w:rFonts w:ascii="Arial" w:cs="Arial" w:eastAsia="Arial" w:hAnsi="Arial"/>
          <w:sz w:val="24"/>
          <w:szCs w:val="24"/>
        </w:rPr>
        <w:t xml:space="preserve">– автоматизация процессов приватизации, аренды и учета государственного имущества;</w:t>
      </w:r>
    </w:p>
    <w:p>
      <w:pPr>
        <w:spacing w:after="120"/>
        <w:ind w:firstLine="709"/>
        <w:jc w:val="both"/>
      </w:pPr>
      <w:r>
        <w:rPr>
          <w:rFonts w:ascii="Arial" w:cs="Arial" w:eastAsia="Arial" w:hAnsi="Arial"/>
          <w:sz w:val="24"/>
          <w:szCs w:val="24"/>
        </w:rPr>
        <w:t xml:space="preserve">– дача согласия органам государственной власти, государственным предприятиям и государственным учреждениям на приобретение недвижимого имущества и автотранспортных средств;</w:t>
      </w:r>
    </w:p>
    <w:p>
      <w:pPr>
        <w:spacing w:after="120"/>
        <w:ind w:firstLine="709"/>
        <w:jc w:val="both"/>
      </w:pPr>
      <w:r>
        <w:rPr>
          <w:rFonts w:ascii="Arial" w:cs="Arial" w:eastAsia="Arial" w:hAnsi="Arial"/>
          <w:sz w:val="24"/>
          <w:szCs w:val="24"/>
        </w:rPr>
        <w:t xml:space="preserve">– дача согласия государственным предприятиям и государственным учреждениям на выступление в качестве учредителей в создаваемых юридических лицах и их выход из состава учредителей;</w:t>
      </w:r>
    </w:p>
    <w:p>
      <w:pPr>
        <w:spacing w:after="120"/>
        <w:ind w:firstLine="709"/>
        <w:jc w:val="both"/>
      </w:pPr>
      <w:r>
        <w:rPr>
          <w:rFonts w:ascii="Arial" w:cs="Arial" w:eastAsia="Arial" w:hAnsi="Arial"/>
          <w:sz w:val="24"/>
          <w:szCs w:val="24"/>
        </w:rPr>
        <w:t xml:space="preserve">– организация и проведение практических курсов, форумов, семинаров, конференций и других информационных мероприятий в целях реализации государственной политики по управлению государственным имуществом и популяризации экономических и правовых знаний по вопросам, входящим в компетенцию Фонда;</w:t>
      </w:r>
    </w:p>
    <w:p>
      <w:pPr>
        <w:spacing w:after="120"/>
        <w:ind w:firstLine="709"/>
        <w:jc w:val="both"/>
      </w:pPr>
      <w:r>
        <w:rPr>
          <w:rFonts w:ascii="Arial" w:cs="Arial" w:eastAsia="Arial" w:hAnsi="Arial"/>
          <w:sz w:val="24"/>
          <w:szCs w:val="24"/>
        </w:rPr>
        <w:t xml:space="preserve">– формирование резерва кадров для органов управления хозяйственных обществ с государственной долей в уставном капитале;</w:t>
      </w:r>
    </w:p>
    <w:p>
      <w:pPr>
        <w:spacing w:after="120"/>
        <w:ind w:firstLine="709"/>
        <w:jc w:val="both"/>
      </w:pPr>
      <w:r>
        <w:rPr>
          <w:rFonts w:ascii="Arial" w:cs="Arial" w:eastAsia="Arial" w:hAnsi="Arial"/>
          <w:sz w:val="24"/>
          <w:szCs w:val="24"/>
        </w:rPr>
        <w:t xml:space="preserve">– организация повышения квалификации работников Фонда и организаций, входящих в сферу ведения Фонда;</w:t>
      </w:r>
    </w:p>
    <w:p>
      <w:pPr>
        <w:spacing w:after="120"/>
        <w:ind w:firstLine="709"/>
        <w:jc w:val="both"/>
      </w:pPr>
      <w:r>
        <w:rPr>
          <w:rFonts w:ascii="Arial" w:cs="Arial" w:eastAsia="Arial" w:hAnsi="Arial"/>
          <w:sz w:val="24"/>
          <w:szCs w:val="24"/>
        </w:rPr>
        <w:t xml:space="preserve">– осуществление международного сотрудничества по курируемым направлениям деятельности по согласованию с Министерством;</w:t>
      </w:r>
    </w:p>
    <w:p>
      <w:pPr>
        <w:spacing w:after="120"/>
        <w:ind w:firstLine="709"/>
        <w:jc w:val="both"/>
      </w:pPr>
      <w:r>
        <w:rPr>
          <w:rFonts w:ascii="Arial" w:cs="Arial" w:eastAsia="Arial" w:hAnsi="Arial"/>
          <w:sz w:val="24"/>
          <w:szCs w:val="24"/>
        </w:rPr>
        <w:t xml:space="preserve">– рассмотрение в установленном порядке жалоб и заявлений физических и юридических лиц по вопросам, относящимся к компетенции Фонда.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Права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Фонд в целях реализации возложенных на него задач имеет право:</w:t>
      </w:r>
    </w:p>
    <w:p>
      <w:pPr>
        <w:spacing w:after="120"/>
        <w:ind w:firstLine="709"/>
        <w:jc w:val="both"/>
      </w:pPr>
      <w:r>
        <w:rPr>
          <w:rFonts w:ascii="Arial" w:cs="Arial" w:eastAsia="Arial" w:hAnsi="Arial"/>
          <w:sz w:val="24"/>
          <w:szCs w:val="24"/>
        </w:rPr>
        <w:t xml:space="preserve">1) представлять интересы государства как собственника государственного имущества;</w:t>
      </w:r>
    </w:p>
    <w:p>
      <w:pPr>
        <w:spacing w:after="120"/>
        <w:ind w:firstLine="709"/>
        <w:jc w:val="both"/>
      </w:pPr>
      <w:r>
        <w:rPr>
          <w:rFonts w:ascii="Arial" w:cs="Arial" w:eastAsia="Arial" w:hAnsi="Arial"/>
          <w:sz w:val="24"/>
          <w:szCs w:val="24"/>
        </w:rPr>
        <w:t xml:space="preserve">2) участвовать в подготовке договоров с другими государствами на установление права владения, пользования и распоряжения имуществом принадлежащим иностранному государству и находя</w:t>
      </w:r>
      <w:r>
        <w:rPr>
          <w:rFonts w:ascii="Arial" w:cs="Arial" w:eastAsia="Arial" w:hAnsi="Arial"/>
          <w:sz w:val="24"/>
          <w:szCs w:val="24"/>
        </w:rPr>
        <w:t xml:space="preserve">щемуся</w:t>
      </w:r>
      <w:r>
        <w:rPr>
          <w:rFonts w:ascii="Arial" w:cs="Arial" w:eastAsia="Arial" w:hAnsi="Arial"/>
          <w:sz w:val="24"/>
          <w:szCs w:val="24"/>
        </w:rPr>
        <w:t xml:space="preserve"> на территории Кыргызской Республики </w:t>
      </w:r>
      <w:r>
        <w:rPr>
          <w:rFonts w:ascii="Arial" w:cs="Arial" w:eastAsia="Arial" w:hAnsi="Arial"/>
          <w:sz w:val="24"/>
          <w:szCs w:val="24"/>
        </w:rPr>
        <w:t xml:space="preserve">и имуществом Кыргызской Республики находящимся на территории других государств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контролировать выполнение покупателями, управляющими или пользователями государственного имущества обязательств, определенных соответствующими договорами;</w:t>
      </w:r>
    </w:p>
    <w:p>
      <w:pPr>
        <w:spacing w:after="120"/>
        <w:ind w:firstLine="709"/>
        <w:jc w:val="both"/>
      </w:pPr>
      <w:r>
        <w:rPr>
          <w:rFonts w:ascii="Arial" w:cs="Arial" w:eastAsia="Arial" w:hAnsi="Arial"/>
          <w:sz w:val="24"/>
          <w:szCs w:val="24"/>
        </w:rPr>
        <w:t xml:space="preserve">4) выступать от имени государства учредителем юридических лиц, осуществлять права акционера (участника) в хозяйственных обществах с государственной долей в уставном капитале;</w:t>
      </w:r>
    </w:p>
    <w:p>
      <w:pPr>
        <w:spacing w:after="120"/>
        <w:ind w:firstLine="709"/>
        <w:jc w:val="both"/>
      </w:pPr>
      <w:r>
        <w:rPr>
          <w:rFonts w:ascii="Arial" w:cs="Arial" w:eastAsia="Arial" w:hAnsi="Arial"/>
          <w:sz w:val="24"/>
          <w:szCs w:val="24"/>
        </w:rPr>
        <w:t xml:space="preserve">5) вносить общему собранию акционеров предложения по кандидатурам для избрания в органы управления хозяйственных обществ с государственной долей в уставном капитале;</w:t>
      </w:r>
    </w:p>
    <w:p>
      <w:pPr>
        <w:spacing w:after="120"/>
        <w:ind w:firstLine="709"/>
        <w:jc w:val="both"/>
      </w:pPr>
      <w:r>
        <w:rPr>
          <w:rFonts w:ascii="Arial" w:cs="Arial" w:eastAsia="Arial" w:hAnsi="Arial"/>
          <w:sz w:val="24"/>
          <w:szCs w:val="24"/>
        </w:rPr>
        <w:t xml:space="preserve">6) вести реестр лиц, полномочия которых в качестве руководителей государственных предприятий, членов органов управлений хозяйственных обществ с государственным участием были прекращены за неудовлетворительную работу, либо получивших неудовлетворительную оценку по итогам мониторинга выполнения ключевых показателей эффективности деятельности;</w:t>
      </w:r>
    </w:p>
    <w:p>
      <w:pPr>
        <w:spacing w:after="120"/>
        <w:ind w:firstLine="709"/>
        <w:jc w:val="both"/>
      </w:pPr>
      <w:r>
        <w:rPr>
          <w:rFonts w:ascii="Arial" w:cs="Arial" w:eastAsia="Arial" w:hAnsi="Arial"/>
          <w:sz w:val="24"/>
          <w:szCs w:val="24"/>
        </w:rPr>
        <w:t xml:space="preserve">7) создавать экспертные, совещательные и иные органы по вопросам, отнесенным к компетенции Фонда;</w:t>
      </w:r>
    </w:p>
    <w:p>
      <w:pPr>
        <w:spacing w:after="120"/>
        <w:ind w:firstLine="709"/>
        <w:jc w:val="both"/>
      </w:pPr>
      <w:r>
        <w:rPr>
          <w:rFonts w:ascii="Arial" w:cs="Arial" w:eastAsia="Arial" w:hAnsi="Arial"/>
          <w:sz w:val="24"/>
          <w:szCs w:val="24"/>
        </w:rPr>
        <w:t xml:space="preserve">8) привлекать консалтинговые, оценочные, аудиторские, юридические, охранные и другие структуры, экспертов и специалистов, в том числе иностранных, по вопросам, отнесенным к деятельности Фонда;</w:t>
      </w:r>
    </w:p>
    <w:p>
      <w:pPr>
        <w:spacing w:after="120"/>
        <w:ind w:firstLine="709"/>
        <w:jc w:val="both"/>
      </w:pPr>
      <w:r>
        <w:rPr>
          <w:rFonts w:ascii="Arial" w:cs="Arial" w:eastAsia="Arial" w:hAnsi="Arial"/>
          <w:sz w:val="24"/>
          <w:szCs w:val="24"/>
        </w:rPr>
        <w:t xml:space="preserve">9) запрашивать и получать от государственных органов и органов местного самоуправления, предприятий, организаций и учреждений республики статистические данные, информационные и аналитические материалы, необходимые для решения вопросов Фонда;</w:t>
      </w:r>
    </w:p>
    <w:p>
      <w:pPr>
        <w:spacing w:after="120"/>
        <w:ind w:firstLine="709"/>
        <w:jc w:val="both"/>
      </w:pPr>
      <w:r>
        <w:rPr>
          <w:rFonts w:ascii="Arial" w:cs="Arial" w:eastAsia="Arial" w:hAnsi="Arial"/>
          <w:sz w:val="24"/>
          <w:szCs w:val="24"/>
        </w:rPr>
        <w:t xml:space="preserve">10) осуществлять выборочную сверку фактического наличия и состояния объектов учета с данными реестра государственного имущества;</w:t>
      </w:r>
    </w:p>
    <w:p>
      <w:pPr>
        <w:spacing w:after="120"/>
        <w:ind w:firstLine="709"/>
        <w:jc w:val="both"/>
      </w:pPr>
      <w:r>
        <w:rPr>
          <w:rFonts w:ascii="Arial" w:cs="Arial" w:eastAsia="Arial" w:hAnsi="Arial"/>
          <w:sz w:val="24"/>
          <w:szCs w:val="24"/>
        </w:rPr>
        <w:t xml:space="preserve">11) принимать в установленном порядке решения о предоставлении государственным органам, учреждениям и предприятиям государственных зданий и помещений;</w:t>
      </w:r>
    </w:p>
    <w:p>
      <w:pPr>
        <w:spacing w:after="120"/>
        <w:ind w:firstLine="709"/>
        <w:jc w:val="both"/>
      </w:pPr>
      <w:r>
        <w:rPr>
          <w:rFonts w:ascii="Arial" w:cs="Arial" w:eastAsia="Arial" w:hAnsi="Arial"/>
          <w:sz w:val="24"/>
          <w:szCs w:val="24"/>
        </w:rPr>
        <w:t xml:space="preserve">12) запрашивать и получать от государственных органов, некоммерческих и коммерческих организаций с государственным участием данные по итогам инвентаризации государственного имущества;</w:t>
      </w:r>
    </w:p>
    <w:p>
      <w:pPr>
        <w:spacing w:after="120"/>
        <w:ind w:firstLine="709"/>
        <w:jc w:val="both"/>
      </w:pPr>
      <w:r>
        <w:rPr>
          <w:rFonts w:ascii="Arial" w:cs="Arial" w:eastAsia="Arial" w:hAnsi="Arial"/>
          <w:sz w:val="24"/>
          <w:szCs w:val="24"/>
        </w:rPr>
        <w:t xml:space="preserve">13) проводить в установленном порядке аудит финансово-хозяйственной деятельности государственных предприятий, хозяйственных обществ с государственной долей участия в уставном капитале и организаций, входящих в сферу ведения Фонда;</w:t>
      </w:r>
    </w:p>
    <w:p>
      <w:pPr>
        <w:spacing w:after="120"/>
        <w:ind w:firstLine="709"/>
        <w:jc w:val="both"/>
      </w:pPr>
      <w:r>
        <w:rPr>
          <w:rFonts w:ascii="Arial" w:cs="Arial" w:eastAsia="Arial" w:hAnsi="Arial"/>
          <w:sz w:val="24"/>
          <w:szCs w:val="24"/>
        </w:rPr>
        <w:t xml:space="preserve">14) возлагать на заместителя руководителя государственного предприятия исполнение обязанностей руководителя государственного предприятия в случае временного отсутствия или досрочного освобождения от занимаемой должности руководителя государственного предприятия;</w:t>
      </w:r>
    </w:p>
    <w:p>
      <w:pPr>
        <w:spacing w:after="120"/>
        <w:ind w:firstLine="709"/>
        <w:jc w:val="both"/>
      </w:pPr>
      <w:r>
        <w:rPr>
          <w:rFonts w:ascii="Arial" w:cs="Arial" w:eastAsia="Arial" w:hAnsi="Arial"/>
          <w:sz w:val="24"/>
          <w:szCs w:val="24"/>
        </w:rPr>
        <w:t xml:space="preserve">15) осуществлять информационную и издательскую деятельность;</w:t>
      </w:r>
    </w:p>
    <w:p>
      <w:pPr>
        <w:spacing w:after="120"/>
        <w:ind w:firstLine="709"/>
        <w:jc w:val="both"/>
      </w:pPr>
      <w:r>
        <w:rPr>
          <w:rFonts w:ascii="Arial" w:cs="Arial" w:eastAsia="Arial" w:hAnsi="Arial"/>
          <w:sz w:val="24"/>
          <w:szCs w:val="24"/>
        </w:rPr>
        <w:t xml:space="preserve">16) учреждать в установленном порядке ведомственные награды Фонда для награждения работников системы органов управления государственным имуществом, утверждать в установленном порядке положения об этих наградах;</w:t>
      </w:r>
    </w:p>
    <w:p>
      <w:pPr>
        <w:spacing w:after="120"/>
        <w:ind w:firstLine="709"/>
        <w:jc w:val="both"/>
      </w:pPr>
      <w:r>
        <w:rPr>
          <w:rFonts w:ascii="Arial" w:cs="Arial" w:eastAsia="Arial" w:hAnsi="Arial"/>
          <w:sz w:val="24"/>
          <w:szCs w:val="24"/>
        </w:rPr>
        <w:t xml:space="preserve">17) предъявлять иски в защиту имущественных прав и интересов государства в пределах компетенции Фонда;</w:t>
      </w:r>
    </w:p>
    <w:p>
      <w:pPr>
        <w:spacing w:after="120"/>
        <w:ind w:firstLine="709"/>
        <w:jc w:val="both"/>
      </w:pPr>
      <w:r>
        <w:rPr>
          <w:rFonts w:ascii="Arial" w:cs="Arial" w:eastAsia="Arial" w:hAnsi="Arial"/>
          <w:sz w:val="24"/>
          <w:szCs w:val="24"/>
        </w:rPr>
        <w:t xml:space="preserve">18) привлекать в установленном порядке средства, гранты международных организаций и доноров для реализации вопросов, относящихся к компетенции Фонда;</w:t>
      </w:r>
    </w:p>
    <w:p>
      <w:pPr>
        <w:spacing w:after="120"/>
        <w:ind w:firstLine="709"/>
        <w:jc w:val="both"/>
      </w:pPr>
      <w:r>
        <w:rPr>
          <w:rFonts w:ascii="Arial" w:cs="Arial" w:eastAsia="Arial" w:hAnsi="Arial"/>
          <w:sz w:val="24"/>
          <w:szCs w:val="24"/>
        </w:rPr>
        <w:t xml:space="preserve">19) заключать договоры с научными учреждениями, учебными заведениями, учеными на проведение исследований, разработку научно-обоснованных рекомендаций, необходимых для реализации политики по управлению государственным имуществом;</w:t>
      </w:r>
    </w:p>
    <w:p>
      <w:pPr>
        <w:spacing w:after="120"/>
        <w:ind w:firstLine="709"/>
        <w:jc w:val="both"/>
      </w:pPr>
      <w:r>
        <w:rPr>
          <w:rFonts w:ascii="Arial" w:cs="Arial" w:eastAsia="Arial" w:hAnsi="Arial"/>
          <w:sz w:val="24"/>
          <w:szCs w:val="24"/>
        </w:rPr>
        <w:t xml:space="preserve">20) уполномочивать ответственных работников на проведение проверок и посещение территории государственных предприятий в целях осуществления контроля за использованием по назначению и сохранностью принадлежащего государственному предприятию имущества;</w:t>
      </w:r>
    </w:p>
    <w:p>
      <w:pPr>
        <w:spacing w:after="120"/>
        <w:ind w:firstLine="709"/>
        <w:jc w:val="both"/>
      </w:pPr>
      <w:r>
        <w:rPr>
          <w:rFonts w:ascii="Arial" w:cs="Arial" w:eastAsia="Arial" w:hAnsi="Arial"/>
          <w:sz w:val="24"/>
          <w:szCs w:val="24"/>
        </w:rPr>
        <w:t xml:space="preserve">21) вносить в Министерство предложение о принятии мер дисциплинарного взыскания на руководителей государственных органов в случаях обнаружения неполноты и недостоверности результатов инвентаризации и учета государственного имущества для последующего внесения в Кабинет Министров Кыргызской Республики; </w:t>
      </w:r>
    </w:p>
    <w:p>
      <w:pPr>
        <w:spacing w:after="120"/>
        <w:ind w:firstLine="709"/>
        <w:jc w:val="both"/>
      </w:pPr>
      <w:r>
        <w:rPr>
          <w:rFonts w:ascii="Arial" w:cs="Arial" w:eastAsia="Arial" w:hAnsi="Arial"/>
          <w:sz w:val="24"/>
          <w:szCs w:val="24"/>
        </w:rPr>
        <w:t xml:space="preserve">22) приобретать имущество на основании договора купли-продажи, дарения или иной сделки, актов государственных органов, органов местного самоуправления, судебных органов;</w:t>
      </w:r>
    </w:p>
    <w:p>
      <w:pPr>
        <w:spacing w:after="120"/>
        <w:ind w:firstLine="709"/>
        <w:jc w:val="both"/>
      </w:pPr>
      <w:r>
        <w:rPr>
          <w:rFonts w:ascii="Arial" w:cs="Arial" w:eastAsia="Arial" w:hAnsi="Arial"/>
          <w:sz w:val="24"/>
          <w:szCs w:val="24"/>
        </w:rPr>
        <w:t xml:space="preserve">23) приобретать право государственной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в случаях и порядке, предусмотренных гражданским законодательством;</w:t>
      </w:r>
    </w:p>
    <w:p>
      <w:pPr>
        <w:spacing w:after="120"/>
        <w:ind w:firstLine="709"/>
        <w:jc w:val="both"/>
      </w:pPr>
      <w:r>
        <w:rPr>
          <w:rFonts w:ascii="Arial" w:cs="Arial" w:eastAsia="Arial" w:hAnsi="Arial"/>
          <w:sz w:val="24"/>
          <w:szCs w:val="24"/>
        </w:rPr>
        <w:t xml:space="preserve">24) осуществлять иные права, предусмотренные нормативными правовыми актами Кыргызской Республики.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Организация работы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Фонд возглавляет председатель, назначаемый на должность и освобождаемый от должности Председателем Кабинета Министров Кыргызской Республики по представлению министра экономики и коммерции Кыргызской Республики (далее – министр).</w:t>
      </w:r>
    </w:p>
    <w:p>
      <w:pPr>
        <w:spacing w:after="120"/>
        <w:ind w:firstLine="709"/>
        <w:jc w:val="both"/>
      </w:pPr>
      <w:r>
        <w:rPr>
          <w:rFonts w:ascii="Arial" w:cs="Arial" w:eastAsia="Arial" w:hAnsi="Arial"/>
          <w:sz w:val="24"/>
          <w:szCs w:val="24"/>
        </w:rPr>
        <w:t xml:space="preserve">Председатель Фонда подчиняется непосредственно министру.</w:t>
      </w:r>
    </w:p>
    <w:p>
      <w:pPr>
        <w:spacing w:after="120"/>
        <w:ind w:firstLine="709"/>
        <w:jc w:val="both"/>
      </w:pPr>
      <w:r>
        <w:rPr>
          <w:rFonts w:ascii="Arial" w:cs="Arial" w:eastAsia="Arial" w:hAnsi="Arial"/>
          <w:sz w:val="24"/>
          <w:szCs w:val="24"/>
        </w:rPr>
        <w:t xml:space="preserve">14. Председатель имеет заместителей, назначаемых на должность и освобождаемых от должности Председателем Кабинета Министров Кыргызской Республики по представлению министра.</w:t>
      </w:r>
    </w:p>
    <w:p>
      <w:pPr>
        <w:spacing w:after="120"/>
        <w:ind w:firstLine="709"/>
        <w:jc w:val="both"/>
      </w:pPr>
      <w:r>
        <w:rPr>
          <w:rFonts w:ascii="Arial" w:cs="Arial" w:eastAsia="Arial" w:hAnsi="Arial"/>
          <w:sz w:val="24"/>
          <w:szCs w:val="24"/>
        </w:rPr>
        <w:t xml:space="preserve">В отсутствие председателя его обязанности исполняет один из заместителей председателя.</w:t>
      </w:r>
    </w:p>
    <w:p>
      <w:pPr>
        <w:spacing w:after="120"/>
        <w:ind w:firstLine="709"/>
        <w:jc w:val="both"/>
      </w:pPr>
      <w:r>
        <w:rPr>
          <w:rFonts w:ascii="Arial" w:cs="Arial" w:eastAsia="Arial" w:hAnsi="Arial"/>
          <w:sz w:val="24"/>
          <w:szCs w:val="24"/>
        </w:rPr>
        <w:t xml:space="preserve">15. Работники Фонда назначаются на должность и освобождаются от должности в порядке, установленном законодательством Кыргызской Республики о государственной гражданской службе.</w:t>
      </w:r>
    </w:p>
    <w:p>
      <w:pPr>
        <w:spacing w:after="120"/>
        <w:ind w:firstLine="709"/>
        <w:jc w:val="both"/>
      </w:pPr>
      <w:r>
        <w:rPr>
          <w:rFonts w:ascii="Arial" w:cs="Arial" w:eastAsia="Arial" w:hAnsi="Arial"/>
          <w:sz w:val="24"/>
          <w:szCs w:val="24"/>
        </w:rPr>
        <w:t xml:space="preserve">16. Председатель Фонда:</w:t>
      </w:r>
    </w:p>
    <w:p>
      <w:pPr>
        <w:spacing w:after="120"/>
        <w:ind w:firstLine="709"/>
        <w:jc w:val="both"/>
      </w:pPr>
      <w:r>
        <w:rPr>
          <w:rFonts w:ascii="Arial" w:cs="Arial" w:eastAsia="Arial" w:hAnsi="Arial"/>
          <w:sz w:val="24"/>
          <w:szCs w:val="24"/>
        </w:rPr>
        <w:t xml:space="preserve">1) осуществляет общее руководство деятельностью Фонда, подведомственных организаций и несет ответственность за выполнение возложенных на Фонд задач и функций;</w:t>
      </w:r>
    </w:p>
    <w:p>
      <w:pPr>
        <w:spacing w:after="120"/>
        <w:ind w:firstLine="709"/>
        <w:jc w:val="both"/>
      </w:pPr>
      <w:r>
        <w:rPr>
          <w:rFonts w:ascii="Arial" w:cs="Arial" w:eastAsia="Arial" w:hAnsi="Arial"/>
          <w:sz w:val="24"/>
          <w:szCs w:val="24"/>
        </w:rPr>
        <w:t xml:space="preserve">2) представляет Фонд в отношениях с международными организациями, государственными органами и органами местного самоуправления Кыргызской Республики, предприятиями, учреждениями и организациями Кыргызской Республики и иностранных государств, аккредитованными в Кыргызской Республике, ведет в пределах своих полномочий переговоры;</w:t>
      </w:r>
    </w:p>
    <w:p>
      <w:pPr>
        <w:spacing w:after="120"/>
        <w:ind w:firstLine="709"/>
        <w:jc w:val="both"/>
      </w:pPr>
      <w:r>
        <w:rPr>
          <w:rFonts w:ascii="Arial" w:cs="Arial" w:eastAsia="Arial" w:hAnsi="Arial"/>
          <w:sz w:val="24"/>
          <w:szCs w:val="24"/>
        </w:rPr>
        <w:t xml:space="preserve">3) распределяет обязанности между заместителями, определяет полномочия других должностных лиц Фонда по решению ими оперативных, организационных, кадровых, финансовых, производственно-хозяйственных и иных вопросов, отнесенных к компетенции Фонда;</w:t>
      </w:r>
    </w:p>
    <w:p>
      <w:pPr>
        <w:spacing w:after="120"/>
        <w:ind w:firstLine="709"/>
        <w:jc w:val="both"/>
      </w:pPr>
      <w:r>
        <w:rPr>
          <w:rFonts w:ascii="Arial" w:cs="Arial" w:eastAsia="Arial" w:hAnsi="Arial"/>
          <w:sz w:val="24"/>
          <w:szCs w:val="24"/>
        </w:rPr>
        <w:t xml:space="preserve">4) в установленном законодательством Кыргызской Республики порядке назначает на должность и освобождает от должности работников Фонда;</w:t>
      </w:r>
    </w:p>
    <w:p>
      <w:pPr>
        <w:spacing w:after="120"/>
        <w:ind w:firstLine="709"/>
        <w:jc w:val="both"/>
      </w:pPr>
      <w:r>
        <w:rPr>
          <w:rFonts w:ascii="Arial" w:cs="Arial" w:eastAsia="Arial" w:hAnsi="Arial"/>
          <w:sz w:val="24"/>
          <w:szCs w:val="24"/>
        </w:rPr>
        <w:t xml:space="preserve">5) назначает на должность и освобождает от должности руководителей и заместителей руководителей государственных учреждений, входящих в сферу ведения Фонда;</w:t>
      </w:r>
    </w:p>
    <w:p>
      <w:pPr>
        <w:spacing w:after="120"/>
        <w:ind w:firstLine="709"/>
        <w:jc w:val="both"/>
      </w:pPr>
      <w:r>
        <w:rPr>
          <w:rFonts w:ascii="Arial" w:cs="Arial" w:eastAsia="Arial" w:hAnsi="Arial"/>
          <w:sz w:val="24"/>
          <w:szCs w:val="24"/>
        </w:rPr>
        <w:t xml:space="preserve">6) определяет в соответствии с законодательством Кыргызской Республики внутренний распорядок работы Фонда;</w:t>
      </w:r>
    </w:p>
    <w:p>
      <w:pPr>
        <w:spacing w:after="120"/>
        <w:ind w:firstLine="709"/>
        <w:jc w:val="both"/>
      </w:pPr>
      <w:r>
        <w:rPr>
          <w:rFonts w:ascii="Arial" w:cs="Arial" w:eastAsia="Arial" w:hAnsi="Arial"/>
          <w:sz w:val="24"/>
          <w:szCs w:val="24"/>
        </w:rPr>
        <w:t xml:space="preserve">7) в установленном порядке поощряет отличившихся работников, а также вносит предложения в Министерство о присвоении работникам почетных званий и награждении государственными наградами Кыргызской Республики;</w:t>
      </w:r>
    </w:p>
    <w:p>
      <w:pPr>
        <w:spacing w:after="120"/>
        <w:ind w:firstLine="709"/>
        <w:jc w:val="both"/>
      </w:pPr>
      <w:r>
        <w:rPr>
          <w:rFonts w:ascii="Arial" w:cs="Arial" w:eastAsia="Arial" w:hAnsi="Arial"/>
          <w:sz w:val="24"/>
          <w:szCs w:val="24"/>
        </w:rPr>
        <w:t xml:space="preserve">8) применяет в установленном законодательством Кыргызской Республики порядке меры дисциплинарного взыскания в отношении работников Фонда и руководителей организаций, входящих в сферу ведения Фонда;</w:t>
      </w:r>
    </w:p>
    <w:p>
      <w:pPr>
        <w:spacing w:after="120"/>
        <w:ind w:firstLine="709"/>
        <w:jc w:val="both"/>
      </w:pPr>
      <w:r>
        <w:rPr>
          <w:rFonts w:ascii="Arial" w:cs="Arial" w:eastAsia="Arial" w:hAnsi="Arial"/>
          <w:sz w:val="24"/>
          <w:szCs w:val="24"/>
        </w:rPr>
        <w:t xml:space="preserve">9) издает приказы, подлежащие обязательному исполнению работниками Фонда;</w:t>
      </w:r>
    </w:p>
    <w:p>
      <w:pPr>
        <w:spacing w:after="120"/>
        <w:ind w:firstLine="709"/>
        <w:jc w:val="both"/>
      </w:pPr>
      <w:r>
        <w:rPr>
          <w:rFonts w:ascii="Arial" w:cs="Arial" w:eastAsia="Arial" w:hAnsi="Arial"/>
          <w:sz w:val="24"/>
          <w:szCs w:val="24"/>
        </w:rPr>
        <w:t xml:space="preserve">10)  выдает от имени Фонда доверенности, управляет и распоряжается в соответствии с законодательством Кыргызской Республики имуществом и средствами Фонда;</w:t>
      </w:r>
    </w:p>
    <w:p>
      <w:pPr>
        <w:spacing w:after="120"/>
        <w:ind w:firstLine="709"/>
        <w:jc w:val="both"/>
      </w:pPr>
      <w:r>
        <w:rPr>
          <w:rFonts w:ascii="Arial" w:cs="Arial" w:eastAsia="Arial" w:hAnsi="Arial"/>
          <w:sz w:val="24"/>
          <w:szCs w:val="24"/>
        </w:rPr>
        <w:t xml:space="preserve">11) заключает в установленном порядке гражданско-правовые сделки с юридическими лицами независимо от их организационно-правовых форм, а также с физическими лицами в соответствии с задачами и функциями Фонда;</w:t>
      </w:r>
    </w:p>
    <w:p>
      <w:pPr>
        <w:spacing w:after="120"/>
        <w:ind w:firstLine="709"/>
        <w:jc w:val="both"/>
      </w:pPr>
      <w:r>
        <w:rPr>
          <w:rFonts w:ascii="Arial" w:cs="Arial" w:eastAsia="Arial" w:hAnsi="Arial"/>
          <w:sz w:val="24"/>
          <w:szCs w:val="24"/>
        </w:rPr>
        <w:t xml:space="preserve">12) вносит на утверждение министру проекты структуры и штатного расписания Фонда в пределах установленных фонда оплаты труда и предельной штатной численности;</w:t>
      </w:r>
    </w:p>
    <w:p>
      <w:pPr>
        <w:spacing w:after="120"/>
        <w:ind w:firstLine="709"/>
        <w:jc w:val="both"/>
      </w:pPr>
      <w:r>
        <w:rPr>
          <w:rFonts w:ascii="Arial" w:cs="Arial" w:eastAsia="Arial" w:hAnsi="Arial"/>
          <w:sz w:val="24"/>
          <w:szCs w:val="24"/>
        </w:rPr>
        <w:t xml:space="preserve">13) утверждает структуру и штатное расписание государственных учреждений и государственных предприятий, входящих в сферу ведения Фонда;</w:t>
      </w:r>
    </w:p>
    <w:p>
      <w:pPr>
        <w:spacing w:after="120"/>
        <w:ind w:firstLine="709"/>
        <w:jc w:val="both"/>
      </w:pPr>
      <w:r>
        <w:rPr>
          <w:rFonts w:ascii="Arial" w:cs="Arial" w:eastAsia="Arial" w:hAnsi="Arial"/>
          <w:sz w:val="24"/>
          <w:szCs w:val="24"/>
        </w:rPr>
        <w:t xml:space="preserve">14) осуществляет иные полномочия по руководству деятельностью Фонда в соответствии с законодательством Кыргызской Республики, Положением о Министерстве и настоящим Положением.</w:t>
      </w:r>
    </w:p>
    <w:p>
      <w:pPr>
        <w:spacing w:after="120"/>
        <w:ind w:firstLine="709"/>
        <w:jc w:val="both"/>
      </w:pPr>
      <w:r>
        <w:rPr>
          <w:rFonts w:ascii="Arial" w:cs="Arial" w:eastAsia="Arial" w:hAnsi="Arial"/>
          <w:sz w:val="24"/>
          <w:szCs w:val="24"/>
        </w:rPr>
        <w:t xml:space="preserve">17. Фонд осуществляет свою деятельность под общим руководством министра, курирующего заместителя министра, а также непосредственным руководством председателя Фонда.</w:t>
      </w:r>
    </w:p>
    <w:p>
      <w:pPr>
        <w:spacing w:after="120"/>
        <w:ind w:firstLine="709"/>
        <w:jc w:val="both"/>
      </w:pPr>
      <w:r>
        <w:rPr>
          <w:rFonts w:ascii="Arial" w:cs="Arial" w:eastAsia="Arial" w:hAnsi="Arial"/>
          <w:sz w:val="24"/>
          <w:szCs w:val="24"/>
        </w:rPr>
        <w:t xml:space="preserve">18. Структура и штатное расписание Фонда утверждаются министром в пределах утвержденных штатной численности и фонда оплаты труда, изменение которых возможно только в связи с изменением задач и функций Фонда. При этом назначение нового председателя Фонда не является основанием для изменения структуры Фонда.</w:t>
      </w:r>
    </w:p>
    <w:p>
      <w:pPr>
        <w:spacing w:after="120"/>
        <w:ind w:firstLine="709"/>
        <w:jc w:val="both"/>
      </w:pPr>
      <w:r>
        <w:rPr>
          <w:rFonts w:ascii="Arial" w:cs="Arial" w:eastAsia="Arial" w:hAnsi="Arial"/>
          <w:sz w:val="24"/>
          <w:szCs w:val="24"/>
        </w:rPr>
        <w:t xml:space="preserve">19. Фонд ежегодно, не позднее января года, следующего за отчетным периодом, представляет в Министерство отчет о результатах деятельности за предыдущий отчетный год.</w:t>
      </w:r>
    </w:p>
    <w:p>
      <w:pPr>
        <w:spacing w:after="120"/>
        <w:ind w:firstLine="709"/>
        <w:jc w:val="both"/>
      </w:pPr>
      <w:r>
        <w:rPr>
          <w:rFonts w:ascii="Arial" w:cs="Arial" w:eastAsia="Arial" w:hAnsi="Arial"/>
          <w:sz w:val="24"/>
          <w:szCs w:val="24"/>
        </w:rPr>
        <w:t xml:space="preserve">20. В Фонде образуется коллегия, в состав которой входят председатель Фонда, заместители председателя, представитель Администрации Президента Кыргызской Республики, представители Министерства, а также руководители структурных подразделений центрального аппарата Фонда.</w:t>
      </w:r>
    </w:p>
    <w:p>
      <w:pPr>
        <w:spacing w:after="120"/>
        <w:ind w:firstLine="709"/>
        <w:jc w:val="both"/>
      </w:pPr>
      <w:r>
        <w:rPr>
          <w:rFonts w:ascii="Arial" w:cs="Arial" w:eastAsia="Arial" w:hAnsi="Arial"/>
          <w:sz w:val="24"/>
          <w:szCs w:val="24"/>
        </w:rPr>
        <w:t xml:space="preserve">Персональный состав членов коллегии утверждается министром.</w:t>
      </w:r>
    </w:p>
    <w:p>
      <w:pPr>
        <w:spacing w:after="120"/>
        <w:ind w:firstLine="709"/>
        <w:jc w:val="both"/>
      </w:pPr>
      <w:r>
        <w:rPr>
          <w:rFonts w:ascii="Arial" w:cs="Arial" w:eastAsia="Arial" w:hAnsi="Arial"/>
          <w:sz w:val="24"/>
          <w:szCs w:val="24"/>
        </w:rPr>
        <w:t xml:space="preserve">Положение о коллегии Фонда утверждается председателем Фонда.</w:t>
      </w:r>
    </w:p>
    <w:p>
      <w:pPr>
        <w:spacing w:after="120"/>
        <w:ind w:firstLine="709"/>
        <w:jc w:val="both"/>
      </w:pPr>
      <w:r>
        <w:rPr>
          <w:rFonts w:ascii="Arial" w:cs="Arial" w:eastAsia="Arial" w:hAnsi="Arial"/>
          <w:sz w:val="24"/>
          <w:szCs w:val="24"/>
        </w:rPr>
        <w:t xml:space="preserve">21. Отмена или пересмотр решений Фонда и подведомственных организаций, входящих в сферу ведения Фонда, затрагивающих права и охраняемые законом интересы физических и юридических лиц, осуществляются в судебном порядке по искам заинтересованных лиц.</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Финансы и хозяйственная деятельность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 Фонд в целях осуществления своей деятельности использует:</w:t>
      </w:r>
    </w:p>
    <w:p>
      <w:pPr>
        <w:spacing w:after="120"/>
        <w:ind w:firstLine="709"/>
        <w:jc w:val="both"/>
      </w:pPr>
      <w:r>
        <w:rPr>
          <w:rFonts w:ascii="Arial" w:cs="Arial" w:eastAsia="Arial" w:hAnsi="Arial"/>
          <w:sz w:val="24"/>
          <w:szCs w:val="24"/>
        </w:rPr>
        <w:t xml:space="preserve">1) имущество, находящееся в государственной собственности, закрепленное за ним на праве оперативного управления;</w:t>
      </w:r>
    </w:p>
    <w:p>
      <w:pPr>
        <w:spacing w:after="120"/>
        <w:ind w:firstLine="709"/>
        <w:jc w:val="both"/>
      </w:pPr>
      <w:r>
        <w:rPr>
          <w:rFonts w:ascii="Arial" w:cs="Arial" w:eastAsia="Arial" w:hAnsi="Arial"/>
          <w:sz w:val="24"/>
          <w:szCs w:val="24"/>
        </w:rPr>
        <w:t xml:space="preserve">2) финансовые средства, имущество и иные объекты, нематериальные ценности в виде продуктов интеллектуального и творческого труда, являющиеся результатом его деятельности.</w:t>
      </w:r>
    </w:p>
    <w:p>
      <w:pPr>
        <w:spacing w:after="120"/>
        <w:ind w:firstLine="709"/>
        <w:jc w:val="both"/>
      </w:pPr>
      <w:r>
        <w:rPr>
          <w:rFonts w:ascii="Arial" w:cs="Arial" w:eastAsia="Arial" w:hAnsi="Arial"/>
          <w:sz w:val="24"/>
          <w:szCs w:val="24"/>
        </w:rPr>
        <w:t xml:space="preserve">23. Финансирование деятельности Фонда, материальное поощрение и социальные выплаты, содержание и развитие материально-технической базы осуществляются за счет средств Фонда.</w:t>
      </w:r>
    </w:p>
    <w:p>
      <w:pPr>
        <w:spacing w:after="120"/>
        <w:ind w:firstLine="709"/>
        <w:jc w:val="both"/>
      </w:pPr>
      <w:r>
        <w:rPr>
          <w:rFonts w:ascii="Arial" w:cs="Arial" w:eastAsia="Arial" w:hAnsi="Arial"/>
          <w:sz w:val="24"/>
          <w:szCs w:val="24"/>
        </w:rPr>
        <w:t xml:space="preserve">24. Источниками финансовых средств Фонда являются:</w:t>
      </w:r>
    </w:p>
    <w:p>
      <w:pPr>
        <w:spacing w:after="120"/>
        <w:ind w:firstLine="709"/>
        <w:jc w:val="both"/>
      </w:pPr>
      <w:r>
        <w:rPr>
          <w:rFonts w:ascii="Arial" w:cs="Arial" w:eastAsia="Arial" w:hAnsi="Arial"/>
          <w:sz w:val="24"/>
          <w:szCs w:val="24"/>
        </w:rPr>
        <w:t xml:space="preserve">1) средства республиканского бюджета Кыргызской Республики;</w:t>
      </w:r>
    </w:p>
    <w:p>
      <w:pPr>
        <w:spacing w:after="120"/>
        <w:ind w:firstLine="709"/>
        <w:jc w:val="both"/>
      </w:pPr>
      <w:r>
        <w:rPr>
          <w:rFonts w:ascii="Arial" w:cs="Arial" w:eastAsia="Arial" w:hAnsi="Arial"/>
          <w:sz w:val="24"/>
          <w:szCs w:val="24"/>
        </w:rPr>
        <w:t xml:space="preserve">2) средства, полученные на грантовой основе, и добровольные взносы юридических и физических лиц;</w:t>
      </w:r>
    </w:p>
    <w:p>
      <w:pPr>
        <w:spacing w:after="120"/>
        <w:ind w:firstLine="709"/>
        <w:jc w:val="both"/>
      </w:pPr>
      <w:r>
        <w:rPr>
          <w:rFonts w:ascii="Arial" w:cs="Arial" w:eastAsia="Arial" w:hAnsi="Arial"/>
          <w:sz w:val="24"/>
          <w:szCs w:val="24"/>
        </w:rPr>
        <w:t xml:space="preserve">3) иные источники, не запрещенные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Заключительные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Фонд в своей деятельности подотчетен Министерству.</w:t>
      </w:r>
    </w:p>
    <w:p>
      <w:pPr>
        <w:spacing w:after="120"/>
        <w:ind w:firstLine="709"/>
        <w:jc w:val="both"/>
      </w:pPr>
      <w:r>
        <w:rPr>
          <w:rFonts w:ascii="Arial" w:cs="Arial" w:eastAsia="Arial" w:hAnsi="Arial"/>
          <w:sz w:val="24"/>
          <w:szCs w:val="24"/>
        </w:rPr>
        <w:t xml:space="preserve">26. Реорганизация и ликвидация Фонда осуществляются в соответствии с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27. Документы, возникшие в ходе деятельности Фонда, используются и хранятся в соответствии с Законом Кыргызской Республики «О национальном архивном фонде Кыргызской Республики».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rawijwad6iw5kk8-cht">
      <w:r>
        <w:rPr>
          <w:rFonts w:ascii="Arial" w:cs="Arial" w:eastAsia="Arial" w:hAnsi="Arial"/>
          <w:color w:val="132D3F"/>
          <w:sz w:val="16"/>
          <w:szCs w:val="16"/>
          <w:u w:val="single"/>
        </w:rPr>
        <w:t xml:space="preserve">dalil.kg/document/158761</w:t>
      </w:r>
    </w:hyperlink>
  </w:p>
  <w:p>
    <w:pPr>
      <w:spacing w:after="0" w:before="40"/>
      <w:jc w:val="center"/>
    </w:pPr>
    <w:hyperlink w:history="1" r:id="rIdymy1hdjbes9j3efbupy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rawijwad6iw5kk8-cht" Type="http://schemas.openxmlformats.org/officeDocument/2006/relationships/hyperlink" Target="https://dalil.kg/document/158761" TargetMode="External"/><Relationship Id="rIdymy1hdjbes9j3efbupy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2026-09-30T21:12:26.297Z</dcterms:created>
  <dcterms:modified xsi:type="dcterms:W3CDTF">2026-09-30T21:12:26.297Z</dcterms:modified>
</cp:coreProperties>
</file>

<file path=docProps/custom.xml><?xml version="1.0" encoding="utf-8"?>
<Properties xmlns="http://schemas.openxmlformats.org/officeDocument/2006/custom-properties" xmlns:vt="http://schemas.openxmlformats.org/officeDocument/2006/docPropsVTypes"/>
</file>