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17 дека</w:t>
      </w:r>
      <w:r>
        <w:rPr>
          <w:rFonts w:ascii="Arial" w:cs="Arial" w:eastAsia="Arial" w:hAnsi="Arial"/>
          <w:sz w:val="24"/>
          <w:szCs w:val="24"/>
        </w:rPr>
        <w:t xml:space="preserve">бря 2021 года № </w:t>
      </w:r>
      <w:r>
        <w:rPr>
          <w:rFonts w:ascii="Arial" w:cs="Arial" w:eastAsia="Arial" w:hAnsi="Arial"/>
          <w:sz w:val="24"/>
          <w:szCs w:val="24"/>
        </w:rPr>
        <w:t xml:space="preserve">307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Положения о водоохранных зонах и полосах водных объектов в Кыргызской Республике" от 7 июля 1995 года № 271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порядка установления водоохранных зон и полос водных объектов Кыргызской Республики, в соответствии со статьями </w:t>
      </w:r>
      <w:hyperlink w:history="1" r:id="rIdtws_gn-toc3inaua1y8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mgjdt7jht0-8qgq55h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skbbnkqo6v7wtt-fny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c3z4qacxgfpycbicbvr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водоохранных зонах и полосах водных объектов в Кыргызской Республике" от 7 июля 1995 года № 271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pjjme325ya3wce8afbo-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водоохранных зонах и полосах водных объектов в Кыргызской Республике, утвержденным вышеуказанным постановлением: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7 слова "областные и районные государственные администрации" заменить словами "государственный орган в сфере охраны окружающей среды";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8 слова "обеспечивают органы Государственного комитета Кыргызской Республики по охране природы" заменить словами "обеспечивает государственный орган в сфере охраны окружающей среды";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"9. Размеры водоохранных зон и полос водных объектов, порядок использования земель, включенных в их состав, а также проекты схем охраны вод утверждаются государственным органом в сфере охраны окружающей среды.";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17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"17. На реках наименьшая ширина водоохранной зоны устанавливается по обоим берегам от среднемноголетнего уреза воды для рек длиной: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50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Длина реки</w:t>
            </w:r>
          </w:p>
        </w:tc>
        <w:tc>
          <w:tcPr>
            <w:tcW w:type="dxa" w:w="50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Ширина водоохранной зоны, м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менее 10 км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м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10 до 50 км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 м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50 до 100 км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м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более 100 км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 м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пункте 33 слова "местными государственными администрациями, местным самоуправлением города Бишкек и города Ош и уполномоченным государственным органом в сфере охраны окружающей среды и обеспечения экологической безопасности" заменить словами "государственным органом в сфере охраны окружающей среды".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24 декабря 2021 года N 154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nbqcbh291eydbwz7tde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dalil.kg/document/158782</w:t>
      </w:r>
    </w:hyperlink>
  </w:p>
  <w:p>
    <w:pPr>
      <w:spacing w:after="0" w:before="40"/>
      <w:jc w:val="center"/>
    </w:pPr>
    <w:hyperlink w:history="1" r:id="rId2fuwiqiry1qcd1f35xsa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ws_gn-toc3inaua1y8rh" Type="http://schemas.openxmlformats.org/officeDocument/2006/relationships/hyperlink" Target="https://dalil.kg/document/112301#st_13" TargetMode="External"/><Relationship Id="rIdimgjdt7jht0-8qgq55hnj" Type="http://schemas.openxmlformats.org/officeDocument/2006/relationships/hyperlink" Target="https://dalil.kg/document/112301#st_17" TargetMode="External"/><Relationship Id="rIdbskbbnkqo6v7wtt-fnydv" Type="http://schemas.openxmlformats.org/officeDocument/2006/relationships/hyperlink" Target="https://dalil.kg/document/36358" TargetMode="External"/><Relationship Id="rIdc3z4qacxgfpycbicbvree" Type="http://schemas.openxmlformats.org/officeDocument/2006/relationships/hyperlink" Target="https://dalil.kg/document/36359" TargetMode="External"/><Relationship Id="rIdpjjme325ya3wce8afbo-r" Type="http://schemas.openxmlformats.org/officeDocument/2006/relationships/hyperlink" Target="https://dalil.kg/document/3635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nbqcbh291eydbwz7tdey" Type="http://schemas.openxmlformats.org/officeDocument/2006/relationships/hyperlink" Target="https://dalil.kg/document/158782" TargetMode="External"/><Relationship Id="rId2fuwiqiry1qcd1f35xsa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2026-09-24T07:44:06.136Z</dcterms:created>
  <dcterms:modified xsi:type="dcterms:W3CDTF">2026-09-24T07:44:06.136Z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