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h4jci5bxiqsylqy7un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616</w:t>
      </w:r>
    </w:p>
    <w:p>
      <w:pPr>
        <w:spacing w:after="120"/>
        <w:jc w:val="center"/>
      </w:pPr>
      <w:r>
        <w:rPr>
          <w:rFonts w:ascii="Arial" w:cs="Arial" w:eastAsia="Arial" w:hAnsi="Arial"/>
          <w:i/>
          <w:iCs/>
          <w:sz w:val="24"/>
          <w:szCs w:val="24"/>
        </w:rPr>
        <w:t xml:space="preserve">(к </w:t>
      </w:r>
      <w:hyperlink w:history="1" r:id="rIdxkoshaanqeeiihbbyrma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декабря 2021 года № 304)</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выпуска и погашения казначейских обязательств Министерства финансов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 государственный орган по прогнозированию и исполнению бюджета/уполномоченный орган).</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казначейских обязательств выступает уполномоченный орган.</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двухлетняя ценная бумага уполномоченного государственного органа по прогнозированию и исполнению бюджета, номинированная в национальной валюте,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юридическое лицо, которое от своего имени обязуется выполнять обязательства, вытекающие из условия выпуска ценных бумаг.</w:t>
      </w:r>
    </w:p>
    <w:p>
      <w:pPr>
        <w:spacing w:after="200" w:before="200"/>
        <w:jc w:val="center"/>
      </w:pPr>
      <w:r>
        <w:rPr>
          <w:rFonts w:ascii="Arial" w:cs="Arial" w:eastAsia="Arial" w:hAnsi="Arial"/>
          <w:b/>
          <w:bCs/>
          <w:sz w:val="24"/>
          <w:szCs w:val="24"/>
        </w:rPr>
        <w:t xml:space="preserve">3. Условия необходимости выпуска</w:t>
      </w:r>
    </w:p>
    <w:p>
      <w:pPr>
        <w:spacing w:after="60"/>
        <w:ind w:firstLine="567"/>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w:t>
      </w:r>
    </w:p>
    <w:p>
      <w:pPr>
        <w:spacing w:after="60"/>
        <w:ind w:firstLine="567"/>
        <w:jc w:val="both"/>
      </w:pPr>
      <w:r>
        <w:rPr>
          <w:rFonts w:ascii="Arial" w:cs="Arial" w:eastAsia="Arial" w:hAnsi="Arial"/>
          <w:sz w:val="24"/>
          <w:szCs w:val="24"/>
        </w:rPr>
        <w:t xml:space="preserve">7. Выпуск казначейских обязательств для урегулирования обязательств может осуществляться только на основании приказа уполномоченного органа.</w:t>
      </w:r>
    </w:p>
    <w:p>
      <w:pPr>
        <w:spacing w:after="200" w:before="200"/>
        <w:jc w:val="center"/>
      </w:pPr>
      <w:r>
        <w:rPr>
          <w:rFonts w:ascii="Arial" w:cs="Arial" w:eastAsia="Arial" w:hAnsi="Arial"/>
          <w:b/>
          <w:bCs/>
          <w:sz w:val="24"/>
          <w:szCs w:val="24"/>
        </w:rPr>
        <w:t xml:space="preserve">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уполномоченного органа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органом и устанавливаются в каждом казначейском обязательстве.</w:t>
      </w:r>
    </w:p>
    <w:p>
      <w:pPr>
        <w:spacing w:after="60"/>
        <w:ind w:firstLine="567"/>
        <w:jc w:val="both"/>
      </w:pPr>
      <w:r>
        <w:rPr>
          <w:rFonts w:ascii="Arial" w:cs="Arial" w:eastAsia="Arial" w:hAnsi="Arial"/>
          <w:sz w:val="24"/>
          <w:szCs w:val="24"/>
        </w:rPr>
        <w:t xml:space="preserve">13. Начисление процентов по казначейским обязательствам не предусматривается (беспроцентные).</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органом. Владелец при передаче казначейских обязательств третьим лицам официально информирует уполномоченный орган.</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Погашение казначейских обязательств</w:t>
      </w:r>
    </w:p>
    <w:p>
      <w:pPr>
        <w:spacing w:after="60"/>
        <w:ind w:firstLine="567"/>
        <w:jc w:val="both"/>
      </w:pPr>
      <w:r>
        <w:rPr>
          <w:rFonts w:ascii="Arial" w:cs="Arial" w:eastAsia="Arial" w:hAnsi="Arial"/>
          <w:sz w:val="24"/>
          <w:szCs w:val="24"/>
        </w:rPr>
        <w:t xml:space="preserve">18. Погашение казначейских обязательств осуществляется уполномоченным органом путем перевода денежных средств согласно номинальной стоимости казначейских обязательств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уполномоченный орган,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Уполномоченный орган в течение 10 (десять) рабочих дней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24"/>
          <w:szCs w:val="24"/>
        </w:rPr>
        <w:t xml:space="preserve">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ведется Государственная книга, которая заводится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Государственной книге ведется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и иные условия, установленные уполномоченным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органом по предъявлении владельцами казначейских обязательств.</w:t>
      </w:r>
    </w:p>
    <w:p>
      <w:pPr>
        <w:spacing w:after="200" w:before="200"/>
        <w:jc w:val="center"/>
      </w:pPr>
      <w:r>
        <w:rPr>
          <w:rFonts w:ascii="Arial" w:cs="Arial" w:eastAsia="Arial" w:hAnsi="Arial"/>
          <w:b/>
          <w:bCs/>
          <w:sz w:val="24"/>
          <w:szCs w:val="24"/>
        </w:rPr>
        <w:t xml:space="preserve">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Уполномоченный орган при выпуске казначейских обязательств указывает ответственность их владельца. При несоблюдении им (держателем казначейских обязательств) условий эмиссии казначейских обязательств уполномоченный орган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держателя казначейских обязательств.</w:t>
      </w:r>
    </w:p>
    <w:p>
      <w:pPr>
        <w:spacing w:after="200" w:before="200"/>
        <w:jc w:val="center"/>
      </w:pPr>
      <w:r>
        <w:rPr>
          <w:rFonts w:ascii="Arial" w:cs="Arial" w:eastAsia="Arial" w:hAnsi="Arial"/>
          <w:b/>
          <w:bCs/>
          <w:sz w:val="24"/>
          <w:szCs w:val="24"/>
        </w:rPr>
        <w:t xml:space="preserve">8. Ответственность сторон</w:t>
      </w:r>
    </w:p>
    <w:p>
      <w:pPr>
        <w:spacing w:after="60"/>
        <w:ind w:firstLine="567"/>
        <w:jc w:val="both"/>
      </w:pPr>
      <w:r>
        <w:rPr>
          <w:rFonts w:ascii="Arial" w:cs="Arial" w:eastAsia="Arial" w:hAnsi="Arial"/>
          <w:sz w:val="24"/>
          <w:szCs w:val="24"/>
        </w:rPr>
        <w:t xml:space="preserve">29. Уполномоченный орган и держатели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oxnnr0uvnaogrsslzo9p">
      <w:r>
        <w:rPr>
          <w:rFonts w:ascii="Arial" w:cs="Arial" w:eastAsia="Arial" w:hAnsi="Arial"/>
          <w:color w:val="132D3F"/>
          <w:sz w:val="16"/>
          <w:szCs w:val="16"/>
          <w:u w:val="single"/>
        </w:rPr>
        <w:t xml:space="preserve">dalil.kg/document/158822</w:t>
      </w:r>
    </w:hyperlink>
  </w:p>
  <w:p>
    <w:pPr>
      <w:spacing w:after="0" w:before="40"/>
      <w:jc w:val="center"/>
    </w:pPr>
    <w:hyperlink w:history="1" r:id="rIddzgzawea6mygxyick79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4jci5bxiqsylqy7unk8" Type="http://schemas.openxmlformats.org/officeDocument/2006/relationships/hyperlink" Target="https://dalil.kg/document/159674" TargetMode="External"/><Relationship Id="rIdxkoshaanqeeiihbbyrma6" Type="http://schemas.openxmlformats.org/officeDocument/2006/relationships/hyperlink" Target="https://dalil.kg/document/1588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oxnnr0uvnaogrsslzo9p" Type="http://schemas.openxmlformats.org/officeDocument/2006/relationships/hyperlink" Target="https://dalil.kg/document/158822" TargetMode="External"/><Relationship Id="rIddzgzawea6mygxyick79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2026-09-28T08:55:52.907Z</dcterms:created>
  <dcterms:modified xsi:type="dcterms:W3CDTF">2026-09-28T08:55:52.907Z</dcterms:modified>
</cp:coreProperties>
</file>

<file path=docProps/custom.xml><?xml version="1.0" encoding="utf-8"?>
<Properties xmlns="http://schemas.openxmlformats.org/officeDocument/2006/custom-properties" xmlns:vt="http://schemas.openxmlformats.org/officeDocument/2006/docPropsVTypes"/>
</file>