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rp936nkgf_dlbkvo8nm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uocued8oylkdjv4xy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КР
 от 24 декабря 2021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по формированию, рассмотрению и исполнению среднесрочных 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oprh_sg_ftwniwxnyd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формирования (разработки/обновления), а также рассмотрения среднесрочных стратегий бюджетных расходов (далее – ССБР) главными распорядителями бюджетных средств (далее – ГРБС). Перечень ГРБС, формирующих ССБР, ежегодно определяется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ССБР определяют стратегическую цель и задачи сектора/отрасли, бюджетные программы, а также показатели результатов деятельности государственных органов, уполномоченных проводить государственную политику в соответствующем секторе/отрасли.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ССБР ежегодно формируются, обновляются и уточняются как часть документа «Основные направления фискальной политики Кыргызской Республики». ССБР предназначены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объективной оценки ситуации в секторе/отрасли и формирования прогнозов развития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новых инициатив и направлений по развитию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основы для формирования проекта бюджета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рассмотрение проекта ССБР осуществляются по графику, приведенному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ежегодного цикла формирования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"/>
        <w:gridCol w:w="7910"/>
        <w:gridCol w:w="1681"/>
        <w:gridCol w:w="500"/>
      </w:tblGrid>
      <w:tr>
        <w:tc>
          <w:tcPr>
            <w:tcW w:type="dxa" w:w="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проекта бюджетного календаря и его утверждение решением Кабинета Министров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УГО, Соцфонд, ФОМС, Кабинет Министров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подготовки проекта ССБР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проекта ССБР на официальном веб-сайте ГРБС и оповещение о проведении общественных слушаний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проекту ССБР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ССБР в УГО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финансовых параметров проекта ССБР с УГО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ГРБС, 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представленных проектов ССБР для включения в проект акта «Основные направления фискальной политики на среднесрочный период» (далее – ОНФП)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ОНФП и материалов по имеющимся разногласиям в Совет Кабинета Министров по фискальной и инвестиционной политике Кыргызской Республики (далее – Совет Кабинета Министров)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июня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ОНФП и устранение разногласий по контрольным цифрам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июня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ОНФП Советом Кабинета Министров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июня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ОНФП на официальном веб-сайте УГО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– должностное лицо ГРБС, несущее ответственность за координацию процесса планирования и реализации бюджетной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мера</w:t>
      </w:r>
      <w:r>
        <w:rPr>
          <w:rFonts w:ascii="Arial" w:cs="Arial" w:eastAsia="Arial" w:hAnsi="Arial"/>
          <w:sz w:val="24"/>
          <w:szCs w:val="24"/>
        </w:rPr>
        <w:t xml:space="preserve"> –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– комплекс взаимосвязанных мер, направленных на достижение результатов, связанных с целями национальной стратегии и/или стратегических/программных документов развития, и/или функциями государственного управления/местного самоуправления, обеспечиваемых бюджетными средствами. Бюджетная программа направлена на выполнение одной из задач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индикаторы результативности</w:t>
      </w:r>
      <w:r>
        <w:rPr>
          <w:rFonts w:ascii="Arial" w:cs="Arial" w:eastAsia="Arial" w:hAnsi="Arial"/>
          <w:sz w:val="24"/>
          <w:szCs w:val="24"/>
        </w:rPr>
        <w:t xml:space="preserve"> – показатели, характеризующие степень достижения запланированных результатов или конкретное состояние сектора/отрасли. Индикаторы результативности используются в качестве ориентиров для достижения целей сектора/отрасли или в качестве критериев оценки деятельности ГРБС;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– конкретное состояние сектора/отрасли, достижение которого является желательным с общественной точки зрения;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прогнозные показатели</w:t>
      </w:r>
      <w:r>
        <w:rPr>
          <w:rFonts w:ascii="Arial" w:cs="Arial" w:eastAsia="Arial" w:hAnsi="Arial"/>
          <w:sz w:val="24"/>
          <w:szCs w:val="24"/>
        </w:rPr>
        <w:t xml:space="preserve"> – показатели прогнозируемого периода, закрепленные законом о республиканском бюджете в предыдущем цикле формирования республиканского бюджета (прогнозные показатели), на основании которого осуществляется распределение бюджетных средств по программам при формировании ССБР;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– перечень бюджетных программ и составляющих их бюджетных мер;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(УГО) – уполномоченный государственный орган по прогнозированию и исполнению бюджета (далее –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ГРБС создает рабочую группу из представителей профильных, стратегических, экономических и финансовых подразделений и подведомственных организаций (далее – рабочая группа). Рабочую группу возглавляет заместитель министра или руководитель аппарата ГРБС. Рабочая группа исполняет основную функцию по формированию ССБР сектора/отрасли, политику которых определяет ГРБС. ГРБС в срок до 20 марта направляет в уполномоченный государственный орган копию ведомственного акта о создании рабочей группы, а также контактные данные администраторов бюджетных программ и ответственного сотрудника, осуществляющего взаимодействие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ГРБС отвечает за управление и реализацию политики в нескольких секторах/отраслях, то он разрабатывает несколько ССБР для каждого отдельного сектора/отрасли. Рабочая группа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работы по формированию/обновлению проекта ССБР;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обсуждение ключевых вопросов, формулировка бюджетных программ, принятие решений по приоритетам в распределении бюджетных расходов по бюджетным программам, определение ожидаемых результатов от реализации бюджетных программ, подготовка и представление проекта ССБР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в управлении и реализации политики сектора/отрасли задействовано несколько государственных органов, создаются межведомственные рабочие группы по согласованию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рабочей группы осуществляется в соответствии с графиком работы, приведенным в таблице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"/>
        <w:gridCol w:w="1910"/>
        <w:gridCol w:w="7706"/>
        <w:gridCol w:w="476"/>
      </w:tblGrid>
      <w:tr>
        <w:tc>
          <w:tcPr>
            <w:tcW w:type="dxa" w:w="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</w:t>
            </w:r>
          </w:p>
        </w:tc>
        <w:tc>
          <w:tcPr>
            <w:tcW w:type="dxa" w:w="7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процесса подготовки проекта ССБР</w:t>
            </w:r>
          </w:p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Утверждение ведомственным актом состава рабочей группы. Назначение сотрудника, ответственного за взаимодействие с уполномоченным государственным органом по вопросам подготовки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Направление в уполномоченный государственный орган копии ведомственного акта о создании рабочей группы, а также контактных данных администраторов бюджетных программ и ответственного сотрудника, осуществляющего контакт с уполномоченным государственным органом по вопросам подготовки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встреч рабочей группы по обсуждению основных направлений отраслевой политики, определению бюджетных программ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марта</w:t>
            </w:r>
          </w:p>
        </w:tc>
      </w:tr>
      <w:tr>
        <w:tc>
          <w:tcPr>
            <w:tcW w:type="dxa" w:w="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разработки ССБР</w:t>
            </w:r>
          </w:p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Определение бюджетных программ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Представление администраторами бюджетных программ описательной части бюджетных программ (по форме согласно приложению 1 к настоящей Инструкции) для обсуждения на заседании рабочей группы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Выработка администраторами бюджетных программ предложений по индикаторам результативности для бюджетных программ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Обсуждение и согласование бюджетных программ, индикаторов результативности бюджетных программ на заседаниях рабочей группы, с участием представителей гражданского общества либо общественного совета (при наличии)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Формирование ССБР по форме согласно приложению 1 к настоящей Инструкции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Общественное обсуждение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Доработка проекта ССБР с учетом замечаний и предложений по итогам проведения общественных слушаний по проекту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Одобрение проекта ССБР руководителем ГРБС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Представление ССБР в уполномоченный государственный орган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ССБР одобряется руководителем ГРБС до представления в уполномоченный государственный орган. Для секторов/отраслей, в управлении и реализации политики которых задействовано несколько ГРБС, проект ССБР одобряется подписями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ССБР представляется в уполномоченный государственный орган в срок до 1 мая текущего года на бумажном и электронном носителях, на государственном и официальном языках, согласно приложениям 1, 2. Электронные форматы документов для заполнения предоставляются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ССБР формируется и представляется в уполномоченный государственный орган в соответствии с </w:t>
      </w:r>
      <w:hyperlink w:history="1" r:id="rIdhkeahbzpzkrxgje6dbe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Ресурсная основа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Ресурсной основой формирования проекта ССБР являются показатели прогнозируемого периода, закрепленные законом Кыргызской Республики о республиканском бюджете в предыдущем цикле формирования республиканского бюджета (прогнозные показатели).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программам, представленным в проекте ССБР, должна соответствовать прогнозным показателям по ГРБС, с учетом структурных изменений, произошедших с момента утверждения прогнозных показателей. Отклонения от прогнозных показателей не могут превышать 10 процентов. В первую очередь, такие отклонения должны включать новые текущие расходы по обеспечению деятельности активов, созданных в результате реализации инвестиционных проектов. Отклонения подлежат обсуждению с уполномоченным государственным органом. В случае формирования проекта ССБР совместно с несколькими ГРБС, общая сумма расходов по бюджетным программам, представленным в ССБР, должна соответствовать общей сумме прогнозных показателей по ГРБС, формирующим ССБР, с учетом структурных изменений, произошедших с момента утверждения прогнозных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Новые бюджетные программы, требующие дополнительного финансирования, выходящего за рамки прогнозных показателей, представляются ГРБС в ССБР в виде сценария бюджетной программы с определением мер. Новые бюджетные программы, требующие дополнительного финансирования, включенные в ССБР в виде сценария, и их стоимость отображаются только в текстовой части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внебюджетных источников финансирования программ (подтвержденные средства партнеров по развитию, средства фондов развития), частных средств, а также средств других бюджетов бюджетной системы, направленных на достижение цели программы, вышеуказанные средства указываются в текстовой части ССБР по каждой бюджетной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 когда ГРБС, вовлеченный в реализацию бюджетной программы, является не единственным исполнителем, в текстовой части ССБР отражается подробная информация о соисполнителях, их роли в достижении ожидаемых результатов бюджетной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Формат и порядок подготовки проекта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формирования проекта ССБР состоит из следующих шагов: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стратегической цели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задач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формулирование/обновление бюджетных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финансовых средств по бюджетным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индикаторов результативности для каждой бюджетной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шаг процесса формирования проекта ССБР сопровождается описанием. Требования к содержанию и описанию разделов ССБР изложены в </w:t>
      </w:r>
      <w:hyperlink w:history="1" r:id="rIdvk1awnvxzpskipadmr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Описание сектора/отрасли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Процесс разработки проекта ССБР начинается с описания сектора/отрасли, к которой относится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требованиями к описанию сектора/отрасли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особенностей (масштаб и основные составляющие) и состояния (проблемы и достижения) сектора/отрасли на момент формирования проекта ССБР, с приведением краткой статистики за последний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роль ГРБС в определении и реализации политики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сектора/отрасли представляется в ССБР по форме согласно приложению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Определение стратегической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ГРБС должен сформулировать стратегическую цель сектора/отрасли. В случаях когда ГРБС не принадлежит к конкретному сектору/отрасли, формулируется стратегическая цель организации. Если стратегическая цель сектора/отрасли уже была сформирована ранее и была согласована с уполномоченным государственным органом, то она остается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формулировке стратегической цели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четкость, определенность и краткость формулировки;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достижимость и измеримость (предпочтительно);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общественной значимости/выгоды от деятельности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направленность на достижение конкретного результата, а не на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Формулировка стратегической цели должна быть понятной и не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специальных терминов и аббревиатур, затрудняющих ее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терминов, понятий и выражений, которые допускают произвольное или неоднозначное толкование;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указаний на иные цели, задачи, эффекты или результаты, которые являются следствием достижения самой стратегической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описания средств и методов достижения стратегической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Стратегическая цель сектора/отрасли вносится в раздел «Стратегическая цель» ССБР по форме согласно </w:t>
      </w:r>
      <w:hyperlink w:history="1" r:id="rIdr9twngdfjnhwgh5ify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Определение задач сектора/отрасли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сектора/отрасли должны быть направлены на достижение стратегической цели и отражать основные приоритетные направления деятельности. Задачи сектора/отрасли являются основой для определения бюджетных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сектора/отрасли должны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задачи должны соответствовать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задач должна быть краткой и четкой, без специальных терминов и аббревиатур, затрудняющих их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задачи не должны дублировать формулировку стратегической цели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задач не должно быть большим (рекомендуется не более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совокупность задач сектора/отрасли по отношению к цели сектора/отрасли должна отвечать принципам необходимости (решение каждой задачи является необходимым условием достижения цели) и достаточности (решение всех задач является достаточным условием достижения цели);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недопустима постановка задач, направленных на обеспечение деятельности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задач не должен дублировать перечень функций из положения, регулирующего деятельность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задач не должно рассматриваться решение проблем финансирования сектора/отрасли.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задачи сектора/отрасли уже были сформированы ранее и были приняты уполномоченным государственным органом, то они остаются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Сформулированные задачи представляются в виде перечня задач в разделе «Задачи» по форме согласно </w:t>
      </w:r>
      <w:hyperlink w:history="1" r:id="rIdqixgfakcmqo4bsapii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Формулирование бюджетных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Взаимосвязанные основные направления деятельности ГРБС группируются в бюджетные программы в соответствии с объединяющими их задачами сектора/отрасли.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каждой бюджетной программы должна быть определена цель, которая формулируется четко и лаконично, является конкретной, достижимой, измеримой, ориентированной на внешнего потребителя услуг сектора/отрасли, направленной на достижение результата. Формулировка цели не должна содержать специальных терминов и аббревиатур, затрудняющих ее понимание.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формулировке бюджетных программ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приоритетами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без применения специальных терминов и аббревиатур, затрудняющих их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 (количество бюджетных программ не может быть меньше количества задач сектора и не должно быть чрезмерно большим);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программы/меры включаются по согласованию с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проекты, финансируемые в рамках бюджета ГРБС, не могут определяться в качестве бюджетных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бюджетная программа должна быть общественно значимой – показывать выгоды от деятельности ГРБС и не должна быть направлена на решение проблем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бюджетные программы сектора/отрасли уже были сформулированы ранее и были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преобразования в Кабинете Министров и внутри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кардинальный пересмотр функций ГРБС как следствие процесса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программной структуры (объединение мелких программ или дезагрегация крупных);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отраслевой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перечне бюджетных программ отражается стандартная программа «Управление и администрирование»,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бюджетной программе «Управление и администрирование» относятся: высшее руководство; финансовая служба; подразделения, ответственные за осуществление мониторинга и контроля; управление человеческими ресурсами; подразделения международного сотрудничества; юридическая служба; внутренний аудит; службы по связям с общественностью, пресс-секретари и т.п. Не допускается отнесение к данной программе всех расходов, осуществляемых центральным аппаратом ГРБС. Территориальные подразделения ГРБС, выполняющие несколько функций, относящихся к разным бюджетным программам/мерам, указываются в виде одной бюджетной меры в бюджетной программе «Управление и администрирование».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Бюджетная программа «Управление и администрирование» указывается первой в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Сформулированные бюджетные программы вносятся в раздел «Бюджетные программы» по форме, приведенной в </w:t>
      </w:r>
      <w:hyperlink w:history="1" r:id="rIdehfnax2vl7dhimuwsn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а также в таблице «Анализ финансирования бюджетных программ» по форме, приведенной в </w:t>
      </w:r>
      <w:hyperlink w:history="1" r:id="rIdfy2g3ouvuenjehmb-s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необходимо указывать коды бюджетных программ, соответствующие кодам программной бюджетной классификации. В случае отсутствия кода программной бюджетной классификации, бюджетная программа указывается как «новая программа» для последующего присвоения ей кода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значительного изменения программной структуры формируемого проекта ССБР в сравнении с программной структурой, представленной в предыдущем цикле формирования бюджета, представляется обоснование вносимых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Распределение средств по бюджетным программам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Прогнозные показатели бюджета ГРБС должны быть распределены в ССБР по бюджетным программам. Расчет расходов по бюджетным программам должен быть основан на определении стоимости бюджетных мер. Для этого администраторы бюджетных программ используют показатели стоимости бюджетных мер, рассчитанных в ходе прошлогоднего цикла формирования бюджетных заявок в программном формате, с корректировками (при необходимости) в пределах 10 процентов их стоимости. Распределение средств по новым бюджетным мерам определяется исходя из предварительных расчетов на основе методики, утвержденной для формирования бюджетов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расчетов вносятся в таблицу «Анализ финансирования бюджетных программ» по форме, приведенной в </w:t>
      </w:r>
      <w:hyperlink w:history="1" r:id="rIdtcwc3dwfoofl_bdhxx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Внебюджетные источники финансирования программ указываются в ССБР по каждой программе в таблице «Анализ финансирования бюджетных программ» отдельно от средств, выделяемых из республиканского бюджета. Итоговая сумма по всем внебюджетным источникам указывается отдельной строкой «Итого за счет внебюджетных источников».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Определение индикаторов результативности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каждой бюджетной программы определяются измеримые ожидаемые результаты. Для их описания применяются индикаторы результативности. Отбор индикаторов результативности осуществляется с учетом требований методики, утвержденной в Инструкции по формированию, рассмотрению и исполнению бюджетов на программной основе. Наименования индикаторов результативности бюджетных программ/мер должны оставаться стабильными во времени, т.е. если индикаторы результативности уже были сформулированы ранее в программном бюджете ГРБС и были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бюджетных программ/мер;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индикаторов результативности осуществляются по согласованию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Ожидаемые результаты бюджетных программ отражаются в текстовой части ССБР и в таблице «Анализ финансирования бюджетных программ» по форме согласно </w:t>
      </w:r>
      <w:hyperlink w:history="1" r:id="rId7nzifukxrtsjv_g_ji6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рассмотрения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Проекты ССБР и индикаторы результативности бюджетных программ подлежат общественному обсуждению, включая представителей общественного совета ГРБС (при наличии), в срок не позднее 25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проведения общественных слушаний ГРБС формируют протокол общественного обсуждения, матрицу учета замечаний и предложений по итогам общественного обсуждения проекта ССБР. Протокол общественного обсуждения представляется в уполномоченный государственный орган вместе с проектом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Проект ССБР рассматривается и одобряется руководителем ГРБС для представления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рассматривает проекты ССБР на предмет соответствия требованиям настоящей Инструкции и методики, утвержденной для формирования бюджетов на программой основе (в части распределения средств по бюджетным программам), и в случае несоответствия изложенным требованиям, возвращает представленный проект ССБР на доработку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ГРБС дорабатывает проект ССБР с учетом замечаний и предложений уполномоченного государственного органа. Доработанный проект ССБР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Свод представленных среднесрочных стратегий для включения в проект Основных направлений фискальной политики обеспечивается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Исполнение среднесрочных стратегий ГРБС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ССБР исполняются ГРБС посредством исполнения программного бюджета, рассмотренного и исполненного в соответствии с Инструкцией о порядке формирования, рассмотрения и исполнения бюджетов на программной основе, утверждаемой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рассмотрению и исполнению среднесрочных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стратегия бюджетных расходов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20__ – 20___ 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сектору/отрасли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(стандартное описание необходимости составления ССБР): «Настоящий документ является официальной среднесрочной (охватывающей трехлетний период с 20__ г. по 20__ г.) стратегией бюджетных расходов, которая включена в Основные направления фискальной политики Кыргызской Республики на 20__ – 20__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Стратегия представляет бюджетные программы в рамках реализации политики сектора/отрасли, и их финансирование в пределах запланированных для этого средств республиканского бюджета, а также подтвержденные внебюджетные источники финансирования.».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сектора/отрасли: краткое описание специфики сектора/отрасли (3–4 абзаца), краткая отраслевая статистика, проблематика и развитие).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роли ГРБС в управлении сектором/отраслью и его развитии (1 абзац).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Стратегическая цель сектора/отрасли (долгосрочная, общественно-значимая, понятная, измеримая) (максимум 1 абзац – цель и очень краткое пояснение, если необходимо).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сектора (среднесрочные, общественно значимые, согласующиеся с национальными и отраслевыми программами развития) (Перечисление задач в несколько пунктов. Задач не должно быть много – максимум 4–5 (необходимо помнить о том, что количество задач не может превышать количество бюджетных программ), можно привести пояснения (1–2 абзаца). Не допускается постановка задач, направленных на обеспечение деятельности ГРБС, увеличение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программы (наименование; указание кода бюджетной программы в бюджетной классификации; указание номера задачи сектора, которую решает программа; очень краткое описание (1–2 абзаца) – информация о текущей ситуации по данному направлению и актуальность программы), (количество программ не должно быть меньше количества задач сектора/отрасли. Несколько программ могут решать одну задачу, но одна программа не может относиться к нескольким задачам).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в списке бюджетных программ должна быть стандартная бюджетная программа «Управление и администрирование». В этой программе должны группироваться административные расходы структурных, территориальных и подведомственных подразделений, которые сложно распределить по основным бюджетным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каждой бюджетной программы приводится предполагаемый перечень бюджетных мер (перечень без описания). За реализацию одной бюджетной меры отвечает одна организация или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Сценарии: в случае если новая бюджетная мера планируется за счет изменения политики, появляется впервые в программной структуре бюджета ГРБС и требует дополнительного финансирования сверх установленных для ГРБС прогнозных показателей, информация по такой бюджетной мере представляется в описании соответствующей бюджетной программы в следующем формате: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4"/>
        <w:gridCol w:w="2704"/>
        <w:gridCol w:w="2385"/>
        <w:gridCol w:w="2385"/>
      </w:tblGrid>
      <w:tr>
        <w:tc>
          <w:tcPr>
            <w:tcW w:type="dxa" w:w="540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бюджетной программы</w:t>
            </w:r>
          </w:p>
        </w:tc>
        <w:tc>
          <w:tcPr>
            <w:tcW w:type="dxa" w:w="47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новой бюджетной меры</w:t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 новой инициативы (необходимость и общественная полезность, ссылка на стратегию национального уровня/инициативу Президента, Кабинета Министров, отраслевую стратегию развития)</w:t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финансирования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Х+1
 (план)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Х+2
 (прогноз)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Х+3
 (прогноз)</w:t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Бюджетные средства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Специальные средства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Государственные инвестиции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результативности: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(единица измерения)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(единица измерения)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необходимо)</w:t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перечисляются ожидаемые результаты реализации бюджетной программы в среднесрочном периоде. Ожидаемый результат должен быть измеримым и реалистичным и иметь социальную значимость. Индикаторы результативности бюджетных мер на данном этапе не определяются.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Финансовый план (стоимость бюджетных программ, включая бюджетные ассигнования, специальные средства, государственные инвестиции, внебюджетные источники). Описываются общий объем расходов по бюджетным программам сектора и существенные изменения в его динамике за прошлые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когда ГРБС, вовлеченный в реализацию бюджетной программы является не единственным исполнителем, необходимо указать информацию о соисполнителях, их роли в достижении ожидаемых результатов бюджетной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рассмотрению и исполнению среднесрочных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 финансирования бюджетных программ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сектору/отрасли ____________________ на 20__ – 20__гг.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ГРБС (полное наименование)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378"/>
        <w:gridCol w:w="5556"/>
        <w:gridCol w:w="496"/>
        <w:gridCol w:w="496"/>
        <w:gridCol w:w="496"/>
        <w:gridCol w:w="496"/>
        <w:gridCol w:w="496"/>
        <w:gridCol w:w="1401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</w:t>
            </w:r>
          </w:p>
        </w:tc>
        <w:tc>
          <w:tcPr>
            <w:tcW w:type="dxa" w:w="5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24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программам/мерам)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1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X-1 (факт)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утв.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прог-ноз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прог-ноз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«Управление и администрирование», из них: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 Наименование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2, из них: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всем программам, из них: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из республиканского бюджета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счет внебюджетных источников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рассмотрению и исполнению среднесрочных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Текст проекта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Приложение 1. Анализ финансирования бюджетных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Протокол общественного обсуждения проекта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_uojiv0qbat_oqdor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dalil.kg/document/158856</w:t>
      </w:r>
    </w:hyperlink>
  </w:p>
  <w:p>
    <w:pPr>
      <w:spacing w:after="0" w:before="40"/>
      <w:jc w:val="center"/>
    </w:pPr>
    <w:hyperlink w:history="1" r:id="rIdjlzuhxwxpu5pvxbincz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936nkgf_dlbkvo8nm1z" Type="http://schemas.openxmlformats.org/officeDocument/2006/relationships/hyperlink" Target="https://dalil.kg/document/230039017" TargetMode="External"/><Relationship Id="rIdouocued8oylkdjv4xyjnh" Type="http://schemas.openxmlformats.org/officeDocument/2006/relationships/hyperlink" Target="https://dalil.kg/document/158854" TargetMode="External"/><Relationship Id="rIdoprh_sg_ftwniwxnydjv9" Type="http://schemas.openxmlformats.org/officeDocument/2006/relationships/hyperlink" Target="https://dalil.kg/document/111338#st_84" TargetMode="External"/><Relationship Id="rIdhkeahbzpzkrxgje6dbeh1" Type="http://schemas.openxmlformats.org/officeDocument/2006/relationships/hyperlink" Target="https://dalil.kg/document/158856#pr3" TargetMode="External"/><Relationship Id="rIdvk1awnvxzpskipadmrmrl" Type="http://schemas.openxmlformats.org/officeDocument/2006/relationships/hyperlink" Target="https://dalil.kg/document/158856#pr1" TargetMode="External"/><Relationship Id="rIdr9twngdfjnhwgh5ifyzyd" Type="http://schemas.openxmlformats.org/officeDocument/2006/relationships/hyperlink" Target="https://dalil.kg/document/158856#pr1" TargetMode="External"/><Relationship Id="rIdqixgfakcmqo4bsapiia_b" Type="http://schemas.openxmlformats.org/officeDocument/2006/relationships/hyperlink" Target="https://dalil.kg/document/158856#pr1" TargetMode="External"/><Relationship Id="rIdehfnax2vl7dhimuwsnq9n" Type="http://schemas.openxmlformats.org/officeDocument/2006/relationships/hyperlink" Target="https://dalil.kg/document/158856#pr1" TargetMode="External"/><Relationship Id="rIdfy2g3ouvuenjehmb-snyv" Type="http://schemas.openxmlformats.org/officeDocument/2006/relationships/hyperlink" Target="https://dalil.kg/document/158856#pr2" TargetMode="External"/><Relationship Id="rIdtcwc3dwfoofl_bdhxx5ud" Type="http://schemas.openxmlformats.org/officeDocument/2006/relationships/hyperlink" Target="https://dalil.kg/document/158856#pr2" TargetMode="External"/><Relationship Id="rId7nzifukxrtsjv_g_ji6zq" Type="http://schemas.openxmlformats.org/officeDocument/2006/relationships/hyperlink" Target="https://dalil.kg/document/158856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_uojiv0qbat_oqdorkn" Type="http://schemas.openxmlformats.org/officeDocument/2006/relationships/hyperlink" Target="https://dalil.kg/document/158856" TargetMode="External"/><Relationship Id="rIdjlzuhxwxpu5pvxbincz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2026-09-25T01:50:48.873Z</dcterms:created>
  <dcterms:modified xsi:type="dcterms:W3CDTF">2026-09-25T01:50:48.873Z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