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соблюдения требований весогабаритных параметров 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hyperlink w:history="1" r:id="rIdoc2z_4sictsicn3izi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1g7054b8rebwz4zsu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некоторые решения Кабинета Министров Кыргызской Республики по вопросам соблюдения требований весогабаритных параметров транспортных средств согласно </w:t>
      </w:r>
      <w:hyperlink w:history="1" r:id="rId1a_rdkusykrb1rlhjj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Республики, Министерству внутренних дел Кыргызской Республики, Государственной таможенной службе при Министерстве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в некоторые решения Кабинета Министров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вопросам соблюдения требований весогабаритных параметров транспортных средств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ulfhtkjdag0hnlgz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Республики,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Республики» от 8 августа 2011 года № 454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«Максимальная общая масса, осевая нагрузка, размеры и другие линейные параметры автотранспортных средств, предназначенных» заменить словами «Максимальные допустимые весогабаритные параметры транспортных средств, установленные»;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«со специальным и неделимым» заменить словами «с неделимым»;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Республики, утвержденном 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дополнить абзацами третьим–тринадцатым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весогабаритный контроль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– один из видов транспортного контроля, осуществляемый в стационарных пунктах транспортного контроля или мобильными группами транспортного контроля, проводимый путем взвешивания и измерения параметров транспортного средства для определения его максимальных весогабаритных параметров и принятия соответствующих процессуальных решений для пропуска и проезда транспортного средства по автомобильным дорогам общего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ведущая ось</w:t>
      </w:r>
      <w:r>
        <w:rPr>
          <w:rFonts w:ascii="Arial" w:cs="Arial" w:eastAsia="Arial" w:hAnsi="Arial"/>
          <w:sz w:val="24"/>
          <w:szCs w:val="24"/>
        </w:rPr>
        <w:t xml:space="preserve"> – ось,</w:t>
      </w:r>
      <w:r>
        <w:rPr>
          <w:rFonts w:ascii="Arial" w:cs="Arial" w:eastAsia="Arial" w:hAnsi="Arial"/>
          <w:sz w:val="24"/>
          <w:szCs w:val="24"/>
        </w:rPr>
        <w:t xml:space="preserve"> передающая крутящий момент</w:t>
      </w:r>
      <w:r>
        <w:rPr>
          <w:rFonts w:ascii="Arial" w:cs="Arial" w:eastAsia="Arial" w:hAnsi="Arial"/>
          <w:sz w:val="24"/>
          <w:szCs w:val="24"/>
        </w:rPr>
        <w:t xml:space="preserve"> и воспринимающая все виды усилий, действующих между </w:t>
      </w:r>
      <w:r>
        <w:rPr>
          <w:rFonts w:ascii="Arial" w:cs="Arial" w:eastAsia="Arial" w:hAnsi="Arial"/>
          <w:sz w:val="24"/>
          <w:szCs w:val="24"/>
        </w:rPr>
        <w:t xml:space="preserve">колесами и подвеской;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выдвижная ось (лентяйка)</w:t>
      </w:r>
      <w:r>
        <w:rPr>
          <w:rFonts w:ascii="Arial" w:cs="Arial" w:eastAsia="Arial" w:hAnsi="Arial"/>
          <w:sz w:val="24"/>
          <w:szCs w:val="24"/>
        </w:rPr>
        <w:t xml:space="preserve"> – ось, которая может быть с помощью устройства разгрузки оси поднята над опорной поверхностью во время обычных условий эксплуатации 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допустимая максимальная общая масса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– масса транспортного средства со снаряжением, пассажирами и грузом или без груза, установленная для проезда по автомобильным дорогам;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допустимая максимальная масса, приходящаяся на ось (</w:t>
      </w:r>
      <w:r>
        <w:rPr>
          <w:rFonts w:ascii="Arial" w:cs="Arial" w:eastAsia="Arial" w:hAnsi="Arial"/>
          <w:sz w:val="24"/>
          <w:szCs w:val="24"/>
        </w:rPr>
        <w:t xml:space="preserve">группу осей), – масса, передающаяся через ось (группу осей) на поверхность автомобильной дороги, установленная для проезда по автомобильным дорогам;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 – </w:t>
      </w:r>
      <w:r>
        <w:rPr>
          <w:rFonts w:ascii="Arial" w:cs="Arial" w:eastAsia="Arial" w:hAnsi="Arial"/>
          <w:sz w:val="24"/>
          <w:szCs w:val="24"/>
        </w:rPr>
        <w:t xml:space="preserve">агрегат колесной машины, не передающий крутящего момента, на котором держатся вращающиеся детали;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односкатная </w:t>
      </w:r>
      <w:r>
        <w:rPr>
          <w:rFonts w:ascii="Arial" w:cs="Arial" w:eastAsia="Arial" w:hAnsi="Arial"/>
          <w:sz w:val="24"/>
          <w:szCs w:val="24"/>
        </w:rPr>
        <w:t xml:space="preserve">– агрегат с двумя колесами, по одной с каждой стороны;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двускатная</w:t>
      </w:r>
      <w:r>
        <w:rPr>
          <w:rFonts w:ascii="Arial" w:cs="Arial" w:eastAsia="Arial" w:hAnsi="Arial"/>
          <w:sz w:val="24"/>
          <w:szCs w:val="24"/>
        </w:rPr>
        <w:t xml:space="preserve"> – агрегат с четырьмя колесами, по два с каждой стороны;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комбинированное 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– комбинация транспортных средств, состоящая из автомобиля, соединенного с прицепом или полуприцепом;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полуприцеп с низкой платформой (трал) –</w:t>
      </w:r>
      <w:r>
        <w:rPr>
          <w:rFonts w:ascii="Arial" w:cs="Arial" w:eastAsia="Arial" w:hAnsi="Arial"/>
          <w:sz w:val="24"/>
          <w:szCs w:val="24"/>
        </w:rPr>
        <w:t xml:space="preserve"> транспортное средство, предназначенное для перевозки негабаритных грузов (строительной спецтехники, фрагментов сооружений, металлических конструкций и других видов нестандартных и тяжеловесных грузов);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полуприцеп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цистерна</w:t>
      </w:r>
      <w:r>
        <w:rPr>
          <w:rFonts w:ascii="Arial" w:cs="Arial" w:eastAsia="Arial" w:hAnsi="Arial"/>
          <w:sz w:val="24"/>
          <w:szCs w:val="24"/>
        </w:rPr>
        <w:t xml:space="preserve"> – это несамоходное специализированное транспортное средство, буксировка которого осуществляется при помощи грузового автомобиля с опорно-сцепным устройством </w:t>
      </w:r>
      <w:r>
        <w:rPr>
          <w:rFonts w:ascii="Arial" w:cs="Arial" w:eastAsia="Arial" w:hAnsi="Arial"/>
          <w:sz w:val="24"/>
          <w:szCs w:val="24"/>
        </w:rPr>
        <w:t xml:space="preserve">для перевозки различных жидкостей;»;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«контроль» заменить словом «проверка»;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ограничение (запрет) въезда на территорию Кыргызской Республики и на дальнейшее движение по автомобильным дорогам общего пользования транспортных средств, максимальные весогабаритные параметры которых превышают допустимые значения.»;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«Результаты весогабаритного контроля транспортного средства, проводимого уполномоченным государственным органом в сфере таможенного дела в пунктах пропуска на кыргызском участке таможенной границы Евразийского экономического союза, подлежат передаче уполномоченному государственному органу транспортного (автомобильного) контроля непосредственно или посредством информационной системы. Дальнейшее движение транспортных средств с крупногабаритным и/или тяжеловесным неделимым грузом допускается уполномоченным государственным органом в сфере таможенного дела при наличии у перевозчика специального разрешения на проезд транспортного средства, перевозящего неделимый груз.»;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«8. Оборудование весогабаритного контроля устанавливается на пунктах транспортного контроля в соответствии с инструкцией по его эксплуатации.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технологическими операциями контроля пропуска транспортных средств на пунктах транспортного контроля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остановка транспортного средства, проверка и изучение проездных документов 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решения о направлении транспортного средства на взвешивание общей массы и измерение осевых нагрузок, размеров и других линейных параметров;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взвешивание и измерение общей массы, осевых нагрузок, размеров и других линейных параметров транспортного средства. В случае несоответствия весогабаритных параметров допустимым значениям, а также отсутствия грузосопроводительных документов, транспортное средство направляется на место для временной парковки;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водителю достоверной информации о результатах взвешивания и измерения транспортного средства в распечатанном виде (акт взвешивания и измерения);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взимание сборов за взвешивание и измерение весогабаритных параметров транспортных средств в случае превышения их допустимых норм для проезда по дорогам общего пользования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составление протокола о нарушении в соответствии c Кодексом Кыргызской Республики о правонарушениях, начисление суммы сбора за возмещение вреда и ущерба, причиняемого автомобильным дорогам транспортным средством, </w:t>
      </w:r>
      <w:r>
        <w:rPr>
          <w:rFonts w:ascii="Arial" w:cs="Arial" w:eastAsia="Arial" w:hAnsi="Arial"/>
          <w:sz w:val="24"/>
          <w:szCs w:val="24"/>
        </w:rPr>
        <w:t xml:space="preserve">и выдача квитанции об оплате сборов;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регистрация соответствующих данных в журнале учета и контроля, ввод результатов весогабаритного контроля в информационную систему;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своевременного заезда и выезда транспортных средств в пунктах транспортного контроля в соответствии с установленной процедурой;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взвешивании транспортных средств с применением оборудования по определению веса транспортных средств допускается погрешность автовесов в пределах и согласно технической документации измерительного оборудования завода-изготовителя. Погрешность измерительного оборудования толкуется в пользу перевозчика;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мер по недопущению дальнейшего движения транспортного средства с превышающими весогабаритными параметрами в соответствии с Кодексом Кыргызской Республики о правонарушениях</w:t>
      </w:r>
      <w:r>
        <w:rPr>
          <w:rFonts w:ascii="Arial" w:cs="Arial" w:eastAsia="Arial" w:hAnsi="Arial"/>
          <w:sz w:val="24"/>
          <w:szCs w:val="24"/>
        </w:rPr>
        <w:t xml:space="preserve">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фиксировании специальными техническими средствами с функцией фото- и видеофиксации нарушений (превышений) установленных допустимых норм весогабаритных параметров транспортного средства для проезда по автомобильным дорогам и наложении штрафа за такие нарушения, меры по разгрузке груза, недопущению дальнейшего движения не применяются и не начисляется сумма сборов за возмещение вреда и ущерба, причиняемого автомобильным дорогам транспортным средством.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применения установленных допустимых норм весогабаритных параметров транспортных средств.»;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абзацем вторым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неподчинения водителя транспортного средства на требование об остановке транспортного средства и дальнейшего продолжения движения транспортного средства, должностными лицами уполномоченного государственного органа в сфере обеспечения безопасности дорожного движения принимаются меры по принудительной остановке транспортного средства и другие меры привлечения к ответственности водителя в установленном законодательством порядке.»;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Владельцы транспортных средств или перевозчики несут ответственность в установленном законодательством порядке за невыполнение требований настоящего Порядка и несоблюдение (превышение) установленных допустимых весогабаритных параметров транспортных средств для проезда по автомобильным дорогам общего пользования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максимальной общей массе, осевой нагрузке, размерах и других линейных параметрах автотранспортных средств, предназначенных для передвижения по автомобильным дорогам общего пользования Кыргызской Республики, утвержденных 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слова «Максимальная общая масса, осевая нагрузка, размеры и другие линейные параметры автотранспортных средств, предназначенных» заменить словами «Максимальные допустимые весогабаритные параметры транспортных средств, установленные»;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1.3.1 дополнить абзацами девятым–тринадцатым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«– для автопоезда, по конструкции и назначению специально предназначенного для перевозки крупногабаритных и (или) тяжеловесных грузов, не должна превышать сумму допустимых масс одиночных автотранспортных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 участке автомобильной дороги общего пользования с асфальто-бетонным покрытием, рассчитанным на осевую нагрузку до 13 тонн, допускается превышение от установленной максимальной общей массы и осевых нагрузок: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трехосный автомобиль (прицеп) – 5 т (осевая нагрузка для групп сдвоенных осей – 21 т);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двухосный тягач с трехосным полуприцепом – 5 т (осевая нагрузка для групп строенных осей – 28 т);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трехосный тягач с трехосным полуприцепом – 10 т (осевая нагрузка для групп сдвоенных осей – 21 т, для групп строенных осей – 28 т).»;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2 слова «должна соответствовать следующим параметрам»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пункта 2 дополнить абзацем третьим следующего содержания: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трехосных одиночных автотранспортных средств допускается превышение нагрузки на 1 тонну в случае когда ведущие оси оснащены двускатными колесами и нагрузка на каждую ось не превышает 9,5 тонны.»;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3.2 дополнить абзацем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низкорамных полуприцепов (трал) с грузом, имеющих три и более осей и/или на каждой оси по четыре и более колес, – 3,00 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3.3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грузовых транспортных средств, перевозящих контейнеры, используемые в мультимодальных перевозках, а также для специальных седельных тягачей, имеющих три и более осей и низкорамный полуприцеп (трал) с грузом, допускается отклонение на 20 см.»;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Республики, утвержденном 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пунктах 2–4, 7–12, 14, 15 слова «со специальным и неделимым» заменить словами «с неделимым»;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Пропуск транспортных средств с неделимым грузом по автомобильным дорогам общего пользования допускается только при наличии специального разрешения.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седельных тягачей, имеющих три и более осей и низкорамный полуприцеп (трал), имеющий четыре и более осей и на каждой оси по восемь и более колес, допускается проезд по автомобильным дорогам общего пользования без специального разрешения и без согласования маршрутного листа при условии движения без груза и соблюдении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соблюдение скорости движения и временных промежутков, установленных Правилами перевозки крупногабаритных и тяжеловесных грузов автомобильным транспортом, утвержденными постановлением Правительства Кыргызской Республики от 3 февраля 2017 года № 60;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габариты транспортного средства не превышают по ширине – 3,00 м, по высоте над поверхностью проезжей части – 4,20 м, по длине – 20 м, с обязательным проведением перевозчиком контрольного дополнительного замера высоты при движении под мостами, трубопроводами и другими коммуникациями.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уполномоченным государственным органом в сфере регулирования и контроля деятельности на автомобильном транспорте по согласованию маршрута движения с уполномоченным государственным органом по безопасности дорожного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согласования специального разрешения с уполномоченным государственным органом в сфере безопасности дорожного движения производится в бумажном и/или в цифровом формате. При этом перевозчик обязуется исполнять все требования Правил перевозки крупногабаритных и тяжеловесных грузов автомобильным транспортом, утвержденных постановлением Правительства Кыргызской Республики от 3 февраля 2017 года № 60.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согласования специального разрешения в электронном формате посредством Системы межведомственного электронного взаимодействия «Тундук» уполномоченным государственным органом в сфере безопасности дорожного движения согласование производится в течение 3-х часов и уполномоченным государственным органом в сфере регулирования и контроля на автомобильном транспорте выдача специального разрешения по заявлению перевозчика осуществляется на пунктах транспортного контроля после взвешивания и измерения весогабаритных параметров 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заявление подается в форме электронного документа на портале уполномоченного органа в сфере регулирования и контроля на автомобильном транспорте, заявление должно быть подписано электронной цифровой подписью. Сведения о документах, удостоверяющих личность, правоустанавливающих документах на движимое имущество, документе, подтверждающем оплату суммы сбора за проезд отечественных и иностранных крупногабаритных и (или) тяжеловесных автотранспортных средств по территории Кыргызской Республики, уполномоченный орган в сфере регулирования и контроля на автомобильном транспорте получает из информационных систем соответствующих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в электронном формате или оформляется в 3-х экземплярах на бумажных носителях, оригинал передается перевозчику или владельцу груза, второй экземпляр остается у дорожных органов уполномоченного государственного органа в сфере регулирования и контроля деятельности на автомобильном транспорте и третий экземпляр передается уполномоченному государственному органу по безопасности дорожного движения.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только на одну перевозку неделимого груза по автомобильным дорогам общего пользования в сроки и время, установленные уполномоченным государственным органом в сфере регулирования и контроля деятельности на автомобильном транспорте по согласованию с уполномоченным государственным органом по безопасности дорожного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специальном разрешении указываются время, сроки и маршрут передвижения транспортного средства с неделимым грузом.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неделимым грузом может передвигаться только по тому маршруту и на условиях, которые предусмотрены в специальном разрешении.»;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«специального 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шестом слова «со специальным и неделимым» заменить словами «с неделимым»;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абзацах втором и третьем пункта 14 слова «за обеспечение», «за соблюдение и обеспечение» заменить соответственно словами «за необеспечение» и «за несоблюдение и необеспечение»;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 в Порядке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</w:t>
      </w:r>
      <w:r>
        <w:rPr>
          <w:rFonts w:ascii="Arial" w:cs="Arial" w:eastAsia="Arial" w:hAnsi="Arial"/>
          <w:sz w:val="24"/>
          <w:szCs w:val="24"/>
        </w:rPr>
        <w:t xml:space="preserve">утвержденном 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пункта 5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возмещения ущерба за превышение установленных норм общей массы транспортного средства и осевых нагрузок.»;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Ставка перегруза на 1 км проезда установлена в размере 40 сомов за 1 тонну. При получении специального разрешения на перевозку неделимых грузов седельными тягачами, имеющими три и более осей и низкорамный полуприцеп (трал), имеющий   четыре и более осей и на каждой оси по четыре и более колес, ставка перегруза устанавливается 20 сомов за 1 тонну на 1км проезда.».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dbtqq94dqjx0yq5ny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 перевозки крупногабаритных и тяжеловесных грузов автомобильным транспортом» </w:t>
      </w:r>
      <w:r>
        <w:rPr>
          <w:rFonts w:ascii="Arial" w:cs="Arial" w:eastAsia="Arial" w:hAnsi="Arial"/>
          <w:sz w:val="24"/>
          <w:szCs w:val="24"/>
        </w:rPr>
        <w:t xml:space="preserve">от 3 февраля 2017 года № 60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перевозки крупногабаритных и тяжеловесных грузов автомобильным транспортом, утвержденных 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Перевозка крупногабаритных и тяжеловесных грузов автомобильным транспортом независимо от форм собственности его владельца по дорогам общего пользования Кыргызской Республики осуществляется после согласования маршрута движения перевозки крупногабаритных и тяжеловесных грузов с уполномоченным государственным органом в сфере обеспечения безопасности дорожного движения </w:t>
      </w:r>
      <w:r>
        <w:rPr>
          <w:rFonts w:ascii="Arial" w:cs="Arial" w:eastAsia="Arial" w:hAnsi="Arial"/>
          <w:sz w:val="24"/>
          <w:szCs w:val="24"/>
        </w:rPr>
        <w:t xml:space="preserve">и выдачи специального разрешения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регулирования и контроля на автомобильном транспорте. Процедура согласования специального разрешения уполномоченным государственным органом в сфере безопасности дорожного движения производится в цифровом формате в течение 3-х часов.»;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в абзаце первом пункта 7 слова «маршрутного листа» заменить словами «маршрута движения»;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9 слова «Маршрутный лист на согласование маршрута перевозки крупногабаритных и тяжеловесных грузов выдается» заменить словами «Маршрут движения перевозки крупногабаритных и тяжеловесных грузов согласовывается при согласовании специального разрешения»;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10 и 11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главы 3 и пункте 15 слова «маршрутного листа» заменить словами «маршрута движения»;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к вышеуказанным Правилам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hhtuzidpep3-nh0w4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dalil.kg/document/158882</w:t>
      </w:r>
    </w:hyperlink>
  </w:p>
  <w:p>
    <w:pPr>
      <w:spacing w:after="0" w:before="40"/>
      <w:jc w:val="center"/>
    </w:pPr>
    <w:hyperlink w:history="1" r:id="rIdi2pbrbg2o0o-cujtifn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2z_4sictsicn3izihda" Type="http://schemas.openxmlformats.org/officeDocument/2006/relationships/hyperlink" Target="https://dalil.kg/document/112301#st_13" TargetMode="External"/><Relationship Id="rIdex1g7054b8rebwz4zsu9r" Type="http://schemas.openxmlformats.org/officeDocument/2006/relationships/hyperlink" Target="https://dalil.kg/document/112301#st_17" TargetMode="External"/><Relationship Id="rId1a_rdkusykrb1rlhjjymj" Type="http://schemas.openxmlformats.org/officeDocument/2006/relationships/hyperlink" Target="https://dalil.kg/document/158882#pr1" TargetMode="External"/><Relationship Id="rIdqkulfhtkjdag0hnlgzazs" Type="http://schemas.openxmlformats.org/officeDocument/2006/relationships/hyperlink" Target="https://dalil.kg/document/92756" TargetMode="External"/><Relationship Id="rIdodbtqq94dqjx0yq5nypvw" Type="http://schemas.openxmlformats.org/officeDocument/2006/relationships/hyperlink" Target="https://dalil.kg/document/987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hhtuzidpep3-nh0w4cn" Type="http://schemas.openxmlformats.org/officeDocument/2006/relationships/hyperlink" Target="https://dalil.kg/document/158882" TargetMode="External"/><Relationship Id="rIdi2pbrbg2o0o-cujtifn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2026-09-24T06:01:11.473Z</dcterms:created>
  <dcterms:modified xsi:type="dcterms:W3CDTF">2026-09-24T06:01:11.473Z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