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4 октября 2021 года № 196</w:t>
      </w:r>
    </w:p>
    <w:p>
      <w:pPr>
        <w:spacing w:after="400" w:before="400"/>
        <w:jc w:val="center"/>
      </w:pPr>
      <w:r>
        <w:rPr>
          <w:rFonts w:ascii="Arial" w:cs="Arial" w:eastAsia="Arial" w:hAnsi="Arial"/>
          <w:b/>
          <w:bCs/>
          <w:sz w:val="28"/>
          <w:szCs w:val="28"/>
        </w:rPr>
        <w:t xml:space="preserve">Об утверждении Перечня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w:t>
      </w:r>
      <w:r>
        <w:rPr>
          <w:rFonts w:ascii="Arial" w:cs="Arial" w:eastAsia="Arial" w:hAnsi="Arial"/>
          <w:sz w:val="32"/>
          <w:szCs w:val="32"/>
        </w:rPr>
        <w:t xml:space="preserve"> </w:t>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k4clkgj5m_i17shjr1fk">
        <w:r>
          <w:rPr>
            <w:rFonts w:ascii="Arial" w:cs="Arial" w:eastAsia="Arial" w:hAnsi="Arial"/>
            <w:i/>
            <w:iCs/>
            <w:color w:val="1D4ED8"/>
            <w:sz w:val="24"/>
            <w:szCs w:val="24"/>
            <w:u w:val="single"/>
          </w:rPr>
          <w:t xml:space="preserve">7 февраля 2022 года № 54</w:t>
        </w:r>
      </w:hyperlink>
      <w:r>
        <w:rPr>
          <w:rFonts w:ascii="Arial" w:cs="Arial" w:eastAsia="Arial" w:hAnsi="Arial"/>
          <w:i/>
          <w:iCs/>
          <w:sz w:val="24"/>
          <w:szCs w:val="24"/>
        </w:rPr>
        <w:t xml:space="preserve">, </w:t>
      </w:r>
      <w:hyperlink w:history="1" r:id="rId6yeqmfitvyllaop3uzvxo">
        <w:r>
          <w:rPr>
            <w:rFonts w:ascii="Arial" w:cs="Arial" w:eastAsia="Arial" w:hAnsi="Arial"/>
            <w:i/>
            <w:iCs/>
            <w:color w:val="1D4ED8"/>
            <w:sz w:val="24"/>
            <w:szCs w:val="24"/>
            <w:u w:val="single"/>
          </w:rPr>
          <w:t xml:space="preserve">12 августа 2022 года № 447</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cx6dj_lanal8-wyerfdlt">
        <w:r>
          <w:rPr>
            <w:rFonts w:ascii="Arial" w:cs="Arial" w:eastAsia="Arial" w:hAnsi="Arial"/>
            <w:i/>
            <w:iCs/>
            <w:color w:val="1D4ED8"/>
            <w:sz w:val="24"/>
            <w:szCs w:val="24"/>
            <w:u w:val="single"/>
          </w:rPr>
          <w:t xml:space="preserve">20 апреля 2023 года № 215</w:t>
        </w:r>
      </w:hyperlink>
      <w:r>
        <w:rPr>
          <w:rFonts w:ascii="Arial" w:cs="Arial" w:eastAsia="Arial" w:hAnsi="Arial"/>
          <w:i/>
          <w:iCs/>
          <w:sz w:val="24"/>
          <w:szCs w:val="24"/>
        </w:rPr>
        <w:t xml:space="preserve">, </w:t>
      </w:r>
      <w:hyperlink w:history="1" r:id="rId13vakvbqrupshimhjgxmv">
        <w:r>
          <w:rPr>
            <w:rFonts w:ascii="Arial" w:cs="Arial" w:eastAsia="Arial" w:hAnsi="Arial"/>
            <w:i/>
            <w:iCs/>
            <w:color w:val="1D4ED8"/>
            <w:sz w:val="24"/>
            <w:szCs w:val="24"/>
            <w:u w:val="single"/>
          </w:rPr>
          <w:t xml:space="preserve">16 мая 2023 года № 257</w:t>
        </w:r>
      </w:hyperlink>
      <w:r>
        <w:rPr>
          <w:rFonts w:ascii="Arial" w:cs="Arial" w:eastAsia="Arial" w:hAnsi="Arial"/>
          <w:i/>
          <w:iCs/>
          <w:sz w:val="24"/>
          <w:szCs w:val="24"/>
        </w:rPr>
        <w:t xml:space="preserve">, </w:t>
      </w:r>
      <w:hyperlink w:history="1" r:id="rId8s7hhokecehupe90vx9ou">
        <w:r>
          <w:rPr>
            <w:rFonts w:ascii="Arial" w:cs="Arial" w:eastAsia="Arial" w:hAnsi="Arial"/>
            <w:i/>
            <w:iCs/>
            <w:color w:val="1D4ED8"/>
            <w:sz w:val="24"/>
            <w:szCs w:val="24"/>
            <w:u w:val="single"/>
          </w:rPr>
          <w:t xml:space="preserve">27 августа 2024 года № 512</w:t>
        </w:r>
      </w:hyperlink>
      <w:r>
        <w:rPr>
          <w:rFonts w:ascii="Arial" w:cs="Arial" w:eastAsia="Arial" w:hAnsi="Arial"/>
          <w:i/>
          <w:iCs/>
          <w:sz w:val="24"/>
          <w:szCs w:val="24"/>
        </w:rPr>
        <w:t xml:space="preserve">, </w:t>
      </w:r>
      <w:hyperlink w:history="1" r:id="rIdcjzfre8cebia9jiicnc4b">
        <w:r>
          <w:rPr>
            <w:rFonts w:ascii="Arial" w:cs="Arial" w:eastAsia="Arial" w:hAnsi="Arial"/>
            <w:i/>
            <w:iCs/>
            <w:color w:val="1D4ED8"/>
            <w:sz w:val="24"/>
            <w:szCs w:val="24"/>
            <w:u w:val="single"/>
          </w:rPr>
          <w:t xml:space="preserve">15 июля 2025 года № 414</w:t>
        </w:r>
      </w:hyperlink>
      <w:r>
        <w:rPr>
          <w:rFonts w:ascii="Arial" w:cs="Arial" w:eastAsia="Arial" w:hAnsi="Arial"/>
          <w:sz w:val="24"/>
          <w:szCs w:val="24"/>
        </w:rPr>
        <w:t xml:space="preserve">, </w:t>
      </w:r>
      <w:hyperlink w:history="1" r:id="rIdmfopxkoe8ajn54q-yyxgu">
        <w:r>
          <w:rPr>
            <w:rFonts w:ascii="Arial" w:cs="Arial" w:eastAsia="Arial" w:hAnsi="Arial"/>
            <w:i/>
            <w:iCs/>
            <w:color w:val="1D4ED8"/>
            <w:sz w:val="24"/>
            <w:szCs w:val="24"/>
            <w:u w:val="single"/>
          </w:rPr>
          <w:t xml:space="preserve">22 апреля 2026 года № 272</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привлечения инвестиций и создания условий для развития возобновляемых источников энергии, в соответствии со </w:t>
      </w:r>
      <w:hyperlink w:history="1" r:id="rIdgninvoosb-_chph7jst2j">
        <w:r>
          <w:rPr>
            <w:rFonts w:ascii="Arial" w:cs="Arial" w:eastAsia="Arial" w:hAnsi="Arial"/>
            <w:color w:val="1D4ED8"/>
            <w:sz w:val="24"/>
            <w:szCs w:val="24"/>
            <w:u w:val="single"/>
          </w:rPr>
          <w:t xml:space="preserve">статьей 297</w:t>
        </w:r>
      </w:hyperlink>
      <w:r>
        <w:rPr>
          <w:rFonts w:ascii="Arial" w:cs="Arial" w:eastAsia="Arial" w:hAnsi="Arial"/>
          <w:sz w:val="24"/>
          <w:szCs w:val="24"/>
        </w:rPr>
        <w:t xml:space="preserve"> Налогового кодекса Кыргызской Республики, статьями </w:t>
      </w:r>
      <w:hyperlink w:history="1" r:id="rIdblvskuyz8rvg6fildd_ds">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qhevjaiat7odvjf7hed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wmtxnrqjgiab6mzdagp0p">
        <w:r>
          <w:rPr>
            <w:rFonts w:ascii="Arial" w:cs="Arial" w:eastAsia="Arial" w:hAnsi="Arial"/>
            <w:i/>
            <w:iCs/>
            <w:color w:val="1D4ED8"/>
            <w:sz w:val="24"/>
            <w:szCs w:val="24"/>
            <w:u w:val="single"/>
          </w:rPr>
          <w:t xml:space="preserve">12 августа 2022 года № 447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Утвердить </w:t>
      </w:r>
      <w:hyperlink w:history="1" r:id="rIdkpnns9aw9alq2wgddpkqb">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 (далее - Перечень), согласно приложению.</w:t>
      </w:r>
    </w:p>
    <w:p>
      <w:pPr>
        <w:spacing w:after="60"/>
        <w:ind w:firstLine="567"/>
        <w:jc w:val="both"/>
      </w:pPr>
      <w:r>
        <w:rPr>
          <w:rFonts w:ascii="Arial" w:cs="Arial" w:eastAsia="Arial" w:hAnsi="Arial"/>
          <w:sz w:val="24"/>
          <w:szCs w:val="24"/>
        </w:rPr>
        <w:t xml:space="preserve">2. Установить, что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указанные в Перечне, освобождаются от уплаты НДС при импорте на территорию Кыргызской Республики, при условии подтверждения в установленном порядке уполномоченным государственным органом, осуществляющим государственные контрольные и надзорные функции по соблюдению законодательства в сфере энергетики, их целевого назначения.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iwdxzwqsonjire3clrdu">
        <w:r>
          <w:rPr>
            <w:rFonts w:ascii="Arial" w:cs="Arial" w:eastAsia="Arial" w:hAnsi="Arial"/>
            <w:i/>
            <w:iCs/>
            <w:color w:val="1D4ED8"/>
            <w:sz w:val="24"/>
            <w:szCs w:val="24"/>
            <w:u w:val="single"/>
          </w:rPr>
          <w:t xml:space="preserve">20 апреля 2023 года № 215</w:t>
        </w:r>
      </w:hyperlink>
      <w:r>
        <w:rPr>
          <w:rFonts w:ascii="Arial" w:cs="Arial" w:eastAsia="Arial" w:hAnsi="Arial"/>
          <w:i/>
          <w:iCs/>
          <w:sz w:val="24"/>
          <w:szCs w:val="24"/>
        </w:rPr>
        <w:t xml:space="preserve">, </w:t>
      </w:r>
      <w:hyperlink w:history="1" r:id="rIdhplwmatbf88g-xdcxl1a3">
        <w:r>
          <w:rPr>
            <w:rFonts w:ascii="Arial" w:cs="Arial" w:eastAsia="Arial" w:hAnsi="Arial"/>
            <w:i/>
            <w:iCs/>
            <w:color w:val="1D4ED8"/>
            <w:sz w:val="24"/>
            <w:szCs w:val="24"/>
            <w:u w:val="single"/>
          </w:rPr>
          <w:t xml:space="preserve">27 августа 2024 года № 512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12 октября 2021 года № 105 (3284)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Перечень
 специализированных товаров и оборудования, предназначенных для строительства энергетических установок на основе использования возобновляемых источников энергии, подлежащих освобождению от уплаты НДС при импорте на территорию Кыргызской Республики</w:t>
      </w:r>
      <w:r>
        <w:rPr>
          <w:rFonts w:ascii="Arial" w:cs="Arial" w:eastAsia="Arial" w:hAnsi="Arial"/>
          <w:sz w:val="32"/>
          <w:szCs w:val="32"/>
        </w:rPr>
        <w:t xml:space="preserve"> </w:t>
      </w:r>
    </w:p>
    <w:p>
      <w:pPr>
        <w:spacing w:after="20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pvhuonhgnp4efnzvwievy">
        <w:r>
          <w:rPr>
            <w:rFonts w:ascii="Arial" w:cs="Arial" w:eastAsia="Arial" w:hAnsi="Arial"/>
            <w:i/>
            <w:iCs/>
            <w:color w:val="1D4ED8"/>
            <w:sz w:val="24"/>
            <w:szCs w:val="24"/>
            <w:u w:val="single"/>
          </w:rPr>
          <w:t xml:space="preserve">7 февраля 2022 года № 54</w:t>
        </w:r>
      </w:hyperlink>
      <w:r>
        <w:rPr>
          <w:rFonts w:ascii="Arial" w:cs="Arial" w:eastAsia="Arial" w:hAnsi="Arial"/>
          <w:i/>
          <w:iCs/>
          <w:sz w:val="24"/>
          <w:szCs w:val="24"/>
        </w:rPr>
        <w:t xml:space="preserve">, </w:t>
      </w:r>
      <w:hyperlink w:history="1" r:id="rId56heuj9nblggirkgi7pwt">
        <w:r>
          <w:rPr>
            <w:rFonts w:ascii="Arial" w:cs="Arial" w:eastAsia="Arial" w:hAnsi="Arial"/>
            <w:i/>
            <w:iCs/>
            <w:color w:val="1D4ED8"/>
            <w:sz w:val="24"/>
            <w:szCs w:val="24"/>
            <w:u w:val="single"/>
          </w:rPr>
          <w:t xml:space="preserve">20 апреля 2023 года № 215</w:t>
        </w:r>
      </w:hyperlink>
      <w:r>
        <w:rPr>
          <w:rFonts w:ascii="Arial" w:cs="Arial" w:eastAsia="Arial" w:hAnsi="Arial"/>
          <w:i/>
          <w:iCs/>
          <w:sz w:val="24"/>
          <w:szCs w:val="24"/>
        </w:rPr>
        <w:t xml:space="preserve">, </w:t>
      </w:r>
      <w:hyperlink w:history="1" r:id="rIdoizxodcks3xgnbx6aqczt">
        <w:r>
          <w:rPr>
            <w:rFonts w:ascii="Arial" w:cs="Arial" w:eastAsia="Arial" w:hAnsi="Arial"/>
            <w:i/>
            <w:iCs/>
            <w:color w:val="1D4ED8"/>
            <w:sz w:val="24"/>
            <w:szCs w:val="24"/>
            <w:u w:val="single"/>
          </w:rPr>
          <w:t xml:space="preserve">16 мая 2023 года № 257</w:t>
        </w:r>
      </w:hyperlink>
      <w:r>
        <w:rPr>
          <w:rFonts w:ascii="Arial" w:cs="Arial" w:eastAsia="Arial" w:hAnsi="Arial"/>
          <w:i/>
          <w:iCs/>
          <w:sz w:val="24"/>
          <w:szCs w:val="24"/>
        </w:rPr>
        <w:t xml:space="preserve">, </w:t>
      </w:r>
      <w:hyperlink w:history="1" r:id="rIdepbujjfwgpomm12gnaam_">
        <w:r>
          <w:rPr>
            <w:rFonts w:ascii="Arial" w:cs="Arial" w:eastAsia="Arial" w:hAnsi="Arial"/>
            <w:i/>
            <w:iCs/>
            <w:color w:val="1D4ED8"/>
            <w:sz w:val="24"/>
            <w:szCs w:val="24"/>
            <w:u w:val="single"/>
          </w:rPr>
          <w:t xml:space="preserve">27 августа 2024 года № 512</w:t>
        </w:r>
      </w:hyperlink>
      <w:r>
        <w:rPr>
          <w:rFonts w:ascii="Arial" w:cs="Arial" w:eastAsia="Arial" w:hAnsi="Arial"/>
          <w:i/>
          <w:iCs/>
          <w:sz w:val="24"/>
          <w:szCs w:val="24"/>
        </w:rPr>
        <w:t xml:space="preserve">, </w:t>
      </w:r>
      <w:hyperlink w:history="1" r:id="rIdgjk45ziddfgpo9-thltik">
        <w:r>
          <w:rPr>
            <w:rFonts w:ascii="Arial" w:cs="Arial" w:eastAsia="Arial" w:hAnsi="Arial"/>
            <w:i/>
            <w:iCs/>
            <w:color w:val="1D4ED8"/>
            <w:sz w:val="24"/>
            <w:szCs w:val="24"/>
            <w:u w:val="single"/>
          </w:rPr>
          <w:t xml:space="preserve">15 июля 2025 года № 414</w:t>
        </w:r>
      </w:hyperlink>
      <w:r>
        <w:rPr>
          <w:rFonts w:ascii="Arial" w:cs="Arial" w:eastAsia="Arial" w:hAnsi="Arial"/>
          <w:sz w:val="24"/>
          <w:szCs w:val="24"/>
        </w:rPr>
        <w:t xml:space="preserve">, </w:t>
      </w:r>
      <w:hyperlink w:history="1" r:id="rIdvbavkmqtn50ms2xqbvrge">
        <w:r>
          <w:rPr>
            <w:rFonts w:ascii="Arial" w:cs="Arial" w:eastAsia="Arial" w:hAnsi="Arial"/>
            <w:i/>
            <w:iCs/>
            <w:color w:val="1D4ED8"/>
            <w:sz w:val="24"/>
            <w:szCs w:val="24"/>
            <w:u w:val="single"/>
          </w:rPr>
          <w:t xml:space="preserve">22 апреля 2026 года № 272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6"/>
        <w:gridCol w:w="8542"/>
      </w:tblGrid>
      <w:tr>
        <w:tc>
          <w:tcPr>
            <w:tcW w:type="dxa" w:w="1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8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Ветровая электростанция (ВЭС)</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7308 20 000 0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Башни и решетчатые мачты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8483 60 800 0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(муфты и устройства для соединения валов (включая универсальные шарниры)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8502 31 000 0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Ветроэнергетические (электрогенераторные установки прочие)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8503 00 910 0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Чугунные литые или стальные литые (части, предназначенные исключительно или в основном для машин товарной позиции 8501 или 8502)</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8503 00 980 0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машин товарной позиции 8501 или 8502)</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8504 22 900 0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более 1600 кВА, но не более 10000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8504 40 910 0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(преобразователи статические)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8507 60 000 0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Литий-ионные (аккумуляторы электрические, включая сепараторы для них, прямоугольной (в том числе квадратной) или иной формы)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более 1000 В, но не более 72,5 кВ)</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8537 20 980 0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более 72,5 кВ)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Солнечная электростанция (СЭС)</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8413 19 000 0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(насосы, имеющие расходомеры или предусматривающие их установку)</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8415 81 009 0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со встроенной холодильной установкой и клапаном для переключения цикла охлаждение/нагрев (реверсивные тепловые насосы)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8418 61 001 9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(тепловые насосы, кроме установок для кондиционирования воздуха товарной позиции 8415, производительностью 3 кВт и более)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8419 19 000 0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(водонагреватели проточные или накопительные (емкостные), неэлектрические)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8419 50 000 0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8419 90 850 9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машин, оборудования промышленного или лабораторного с электрическим или неэлектрическим нагревом (исключая печи, камеры и другое оборудование товарной позиции 8514)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 за исключением машин и оборудования, используемых в бытовых целях, водонагревателей проточных или накопительных (емкостных), неэлектрических)</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8504 40 300 8</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(преобразователи статические, используемые с телекоммуникационной аппаратурой, вычислительными машинами и их блоками)</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8507 20 800 8</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электрические, свинцовые прочие)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электрические, никель-кадмиевые, герметичные)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прочие (аккумуляторы электрические)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контроллеры с памятью, на напряжение не более 1000 В</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8541 42 000 0</w:t>
            </w:r>
            <w:r>
              <w:rPr>
                <w:rFonts w:ascii="Arial" w:cs="Arial" w:eastAsia="Arial" w:hAnsi="Arial"/>
                <w:sz w:val="24"/>
                <w:szCs w:val="24"/>
              </w:rPr>
              <w:t xml:space="preserve">8541 43 000 0</w:t>
            </w:r>
            <w:r>
              <w:rPr>
                <w:rFonts w:ascii="Arial" w:cs="Arial" w:eastAsia="Arial" w:hAnsi="Arial"/>
                <w:sz w:val="24"/>
                <w:szCs w:val="24"/>
              </w:rPr>
              <w:t xml:space="preserve">8541 49 00 0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полупроводниковые фоточувствительные, включая фотогальванические элементы, собранные или не собранные в модули, вмонтированные или не вмонтированные в панели; светоизлучающие диоды, прочие)</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8541 90 000 0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(диоды, транзисторы и аналогичные полупроводниковые приборы; фоточувствительные полупроводниковые приборы, включая фотогальванические элементы, собранные или не собранные в модули, вмонтированные или не вмонтированные в панели; светоизлучающие диоды (LED); пьезоэлектрические кристаллы в сборе)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Малая гидроэлектростанция (МГЭС)</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8410 11 000 0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гидравлические и водяные колеса, мощностью не более 1000 кВт</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8410 12 000 0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гидравлические и водяные колеса, мощностью более 1000 кВт, но не более 10000 кВт</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8410 13 000 0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гидравлические и водяные колеса мощностью более 10000 кВт</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8501 61 300 0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не более 7,5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8501 61 700 0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7,5 кВА, но не более 75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8501 62 000 0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75 кВА, но не более 375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8501 63 000 0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375 кВА, но не более 750 кВА</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8502 39 200 0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8502 39 800 0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электрогенераторные установки</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3917 29 000 9</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жесткие, из прочих пластмасс</w:t>
            </w:r>
          </w:p>
        </w:tc>
      </w:tr>
      <w:tr>
        <w:tc>
          <w:tcPr>
            <w:tcW w:type="dxa" w:w="1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8503 009 100</w:t>
            </w:r>
          </w:p>
        </w:tc>
        <w:tc>
          <w:tcPr>
            <w:tcW w:type="dxa" w:w="8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чугунные литые или стальные литые, предназначенные исключительно или в основном для машин товарной позиции 8501 или 8502</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
        <w:gridCol w:w="754"/>
        <w:gridCol w:w="754"/>
        <w:gridCol w:w="8162"/>
      </w:tblGrid>
      <w:tr>
        <w:tc>
          <w:tcPr>
            <w:tcW w:type="dxa" w:w="5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5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81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Прочее оборудование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8504 22 100 0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более 650 кВА, но не более 1600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8504 23 000 9</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трансформаторы с жидким диэлектриком, мощностью более 10000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8504 32 000 2</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1 кВА, но не более 16 кВА, измерительные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8535 10 000 0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8535 21 000 0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более 1000 В, но менее 72,5 кВ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8535 29 000 0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более 1000 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8535 30 200 0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 но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разъединители и прерыватели на напряжение 72,5 кВ и более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8535 30 900 1</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выключатели на напряжение не менее 110 кВ, но не более 550 кВ в корпусе из алюминиевого сплава, содержащем не менее двух монтажных фланцев с крепежными отверстиями, предназначенных для подсоединения внешней аппаратуры, где, по крайней мере, один из монтажных фланцев содержит крепежные отверстия, центры которых расположены на окружности диаметром не менее 330 мм, но не более 680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8535 30 900 2</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разъединители-заземлители на напряжение не менее 110 кВ, но не более 550 кВ в корпусе из алюминиевого сплава, содержащем не менее двух монтажных фланцев с крепежными отверстиями, предназначенных для подсоединения внешней аппаратуры, где, по крайней мере, два из монтажных фланцев содержат крепежные отверстия, центры которых расположены на окружности диаметром не менее 330 мм, но не более 680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8535 30 900 3</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Элегазовые заземлители на напряжение не менее 110 кВ, но не более 550 кВ в корпусе из алюминиевого сплава, содержащем, по крайней мере, два монтажных фланца, предназначенных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8535 30 900 8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72,5 кВ и более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8535 40 000 0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 на напряжение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токоприемники, токосъемники и прочие соединители, соединительные коробки) на напряжение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8535 90 000 1</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Проходные изоляторы с одним или несколькими электродами на напряжение не менее 110 кВ, но не более 550 кВ в корпусе из алюминиевого сплава, содержащем монтажное фланцевое кольцо для подсоединения внешней аппаратуры с крепежными отверстиями, центры которых расположены на окружности диаметром не менее 330 мм, но не более 680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не более 10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более 10 А, но не более 63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8536 10 900 0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напряжение не более 1000 В, на силу тока более 63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8536 30 200 0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не более 16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более 16 А, но не более 125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8536 30 800 0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прочие, на силу тока более 125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60 А, на силу тока не более 2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60 А, на силу тока более 2 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8536 49 000 0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напряжение не более 1000 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 на напряжение не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8546 10 000 0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Изоляторы электрические стеклянные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8546 20 000 0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Изоляторы электрические керамические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8546 90 100 0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изоляторы электрические из пластмассы</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8501 53 990 0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переменного тока многофазные прочие, номинальной выходной мощностью более 750 кВт</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8501 64 000 0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переменного тока (синхронные генераторы), номинальной выходной мощностью более 750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8410 90 000 9</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включая регуляторы для турбин гидравлических, колес водяных</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8426 11 000 0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мостовые на неподвижных опорах</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8481 80 850 8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затворы дисковые поворотные для трубопроводов, котлов, резервуаров, цистерн, баков или аналогичных емкостей</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(провода и кабели с изолированными проводниками диаметром более 0,51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7305 31 000 0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Сварные прямошовные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напряжение более 1000 В, но не более 72,5 кВ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системы линейного действия (цилиндры)</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8412 90 400 8</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гидравлических силовых установок и двигателей</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8504 31 210 9</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прочие, мощностью не более 1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панели управления со встроенной вычислительной машиной на напряжение не более 1000 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5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7305 11 000 2</w:t>
            </w:r>
          </w:p>
        </w:tc>
        <w:tc>
          <w:tcPr>
            <w:tcW w:type="dxa" w:w="8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прямошовные, изготовленные методом дуговой сварки под флюсом, наружным диаметром 530 мм и более, из стали с временным сопротивлением разрыву (пределом прочности) 530 МПа (что соответствует 54 кгс/мм</w:t>
            </w:r>
            <w:r>
              <w:rPr>
                <w:rFonts w:ascii="Arial" w:cs="Arial" w:eastAsia="Arial" w:hAnsi="Arial"/>
                <w:sz w:val="24"/>
                <w:szCs w:val="24"/>
              </w:rPr>
              <w:t xml:space="preserve">2</w:t>
            </w:r>
            <w:r>
              <w:rPr>
                <w:rFonts w:ascii="Arial" w:cs="Arial" w:eastAsia="Arial" w:hAnsi="Arial"/>
                <w:sz w:val="24"/>
                <w:szCs w:val="24"/>
              </w:rPr>
              <w:t xml:space="preserve">) и более и ударной вязкостью металла 2,5 кгс м/см</w:t>
            </w:r>
            <w:r>
              <w:rPr>
                <w:rFonts w:ascii="Arial" w:cs="Arial" w:eastAsia="Arial" w:hAnsi="Arial"/>
                <w:sz w:val="24"/>
                <w:szCs w:val="24"/>
              </w:rPr>
              <w:t xml:space="preserve">2</w:t>
            </w:r>
            <w:r>
              <w:rPr>
                <w:rFonts w:ascii="Arial" w:cs="Arial" w:eastAsia="Arial" w:hAnsi="Arial"/>
                <w:sz w:val="24"/>
                <w:szCs w:val="24"/>
              </w:rPr>
              <w:t xml:space="preserve"> и более при температуре испытания -34 ºС и ниже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7305 190000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для нефте- или газопроводов, с круглым сечением, наружный диаметр которых более 406,4 мм, из черных металлов,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7308 90 980 9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Металлоконструкции из черных металлов (кроме сборных строительных конструкций товарной позиции 9406) и их части (например, мосты и их секции, ворота шлюзов, башни, решетчатые мачты, перекрытия для крыш, строительные фермы, двери и окна и их рамы, пороги для дверей, жалюзи, балюстрады, опоры и колонны); листы, прутки, уголки, фасонные профили, трубы и аналогичные изделия, из черных металлов, предназначенные для использования в металлоконструкциях,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8425 11 000 0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или подъемников, используемых для подъема транспортных средств), с приводом от электрического двигателя</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8428 10 200 2</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лифты (включая подъемники мачтовые), с электрическим управлением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7318 15 900 8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с головками, из черных металлов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7318 15 700 8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с головками, с шестигранной головкой, из коррозионностойкой стали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7318 15 890 0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из черных металлов, с головками с шестигранной головкой, прочие, с пределом прочности на растяжение 800 МПа или более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7318 15 810 0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из черных металлов, с головками с шестигранной головкой, прочие, с пределом прочности на растяжение менее 800 МПа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7318 15 110 0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и болты прочие, в комплекте с гайками или шайбами или без них, выточенные из прутков, профилей или проволоки сплошного поперечного сечения, с толщиной стержня не более 6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7318 16 900 0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Гайки прочие с внутренним диаметром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7318 16 300 8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Гайки из коррозионностойкой стали,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7318 16 200 0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Гайки выточенные из прутков, профилей или проволоки сплошного поперечного сечения, с диаметром отверстия не более 6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7318 16 910 9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Гайки из черных металлов, прочие, с внутренним диаметром не более 12 мм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7318 19 000 8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снабженные резьбой,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7326 90 940 9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штампованные,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7326 90 980 7</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7610 90 900 0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металлоконструкции алюминиевые (кроме сборных строительных металлоконструкций товарной позиции 9406) и их части (например, перекрытия для крыш, строительные фермы, балюстрады, опоры и колонны); листки, прутки, профили, трубы и аналогичные изделия алюминиевые, предназначенные для использования в металлоконструкциях</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7616 99 900 8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алюминия</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8471 50 000 0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отличные от описанных в субпозиции 8471 41 или 8471 49,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8482 10 900 8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подшипники шариковые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8482 20 000 9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подшипники роликовые конические, включая внутренние конические кольца с сепаратором и роликами в сборе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8483 30 320 9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для шариковых или роликовых подшипников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8501 52 200 1</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переменного тока многофазные прочие, номинальной выходной мощностью более 750 Вт, но не более 7,5 кВт, асинхронные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8504 21 000 0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не более 650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8504 23 000 1</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жидким диэлектриком, мощностью 148000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8504 32 000 9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1 ква, но не более 16 кВА,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8504 33 000 9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16 ква, но не более 500 кВА,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8504 34 000 0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более 500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8504 40 300 8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 используемые с телекоммуникационной аппаратурой, вычислительными машинами и их блоками,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8504 40 850 0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Инверторы мощностью не более 7,5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8504 40 870 0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Инверторы мощностью более 7,5 кВА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8531 80 950 0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электрооборудования звукового или визуального сигнализационного, кроме оборудования т.п. 8512 или 8530</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8544 70 000 0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8544 49 950 9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80 В, но менее 1000 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8544 60 100 0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прочие, с медными проводниками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метеорологические, гидрологические и геофизические, электронные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механические устройства, имеющие индивидуальные функции, в другом месте данной группы не поименованные или не включенные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9027 20 000 0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8424 20 000 0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Пульверизаторы и аналогичные устройства</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8504 31 800 7</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мощностью не более 1 кВА,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8517 62 000 3</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9106 90 000 0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регистрации времени суток и аппаратура для измерения, регистрации или индикации каким-либо способом интервалов времени, с любым часовым механизмом или синхронным двигателем (например, регистраторы времени, устройства записи времени),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8504 40 550 0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8517 79 000 1</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устройств вычислительных машин подсубпозиций 8517 62 000 2 и 8517 62 000 3</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 устройства для автоматического регулирования или управления</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8504 90 170 0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трансформаторов, катушек индуктивности и дросселей,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8538 90 990 8</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аппаратуры товарной позиции 8535, 8536 или 8537</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8517 69 900 0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для передачи или приема голоса, изображений или других данных</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прочие, с прочими проводниками</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80 В прочие</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7614 10 000 0</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плетеные шнуры и аналогичные изделия из алюминия без электрической изоляции, со стальным сердечником</w:t>
            </w:r>
          </w:p>
        </w:tc>
      </w:tr>
      <w:tr>
        <w:tc>
          <w:tcPr>
            <w:tcW w:type="dxa" w:w="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7312 10 200 9</w:t>
            </w:r>
          </w:p>
        </w:tc>
        <w:tc>
          <w:tcPr>
            <w:tcW w:type="dxa" w:w="89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без электрической изоляции, из коррозионностойкой стали</w:t>
            </w:r>
          </w:p>
        </w:tc>
      </w:tr>
      <w:tr>
        <w:tc>
          <w:tcPr>
            <w:tcW w:type="dxa" w:w="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usj908m199ordch4kbe">
      <w:r>
        <w:rPr>
          <w:rFonts w:ascii="Arial" w:cs="Arial" w:eastAsia="Arial" w:hAnsi="Arial"/>
          <w:color w:val="132D3F"/>
          <w:sz w:val="16"/>
          <w:szCs w:val="16"/>
          <w:u w:val="single"/>
        </w:rPr>
        <w:t xml:space="preserve">dalil.kg/document/158971</w:t>
      </w:r>
    </w:hyperlink>
  </w:p>
  <w:p>
    <w:pPr>
      <w:spacing w:after="0" w:before="40"/>
      <w:jc w:val="center"/>
    </w:pPr>
    <w:hyperlink w:history="1" r:id="rIdgqiyhmp0xojw3-pjjjy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4clkgj5m_i17shjr1fk" Type="http://schemas.openxmlformats.org/officeDocument/2006/relationships/hyperlink" Target="https://dalil.kg/document/158970" TargetMode="External"/><Relationship Id="rId6yeqmfitvyllaop3uzvxo" Type="http://schemas.openxmlformats.org/officeDocument/2006/relationships/hyperlink" Target="https://dalil.kg/document/160280" TargetMode="External"/><Relationship Id="rIdcx6dj_lanal8-wyerfdlt" Type="http://schemas.openxmlformats.org/officeDocument/2006/relationships/hyperlink" Target="https://dalil.kg/document/160114" TargetMode="External"/><Relationship Id="rId13vakvbqrupshimhjgxmv" Type="http://schemas.openxmlformats.org/officeDocument/2006/relationships/hyperlink" Target="https://dalil.kg/document/160213" TargetMode="External"/><Relationship Id="rId8s7hhokecehupe90vx9ou" Type="http://schemas.openxmlformats.org/officeDocument/2006/relationships/hyperlink" Target="https://dalil.kg/document/230012552" TargetMode="External"/><Relationship Id="rIdcjzfre8cebia9jiicnc4b" Type="http://schemas.openxmlformats.org/officeDocument/2006/relationships/hyperlink" Target="https://dalil.kg/document/230029725" TargetMode="External"/><Relationship Id="rIdmfopxkoe8ajn54q-yyxgu" Type="http://schemas.openxmlformats.org/officeDocument/2006/relationships/hyperlink" Target="https://dalil.kg/document/230045162" TargetMode="External"/><Relationship Id="rIdgninvoosb-_chph7jst2j" Type="http://schemas.openxmlformats.org/officeDocument/2006/relationships/hyperlink" Target="https://dalil.kg/document/202445#st_297" TargetMode="External"/><Relationship Id="rIdblvskuyz8rvg6fildd_ds" Type="http://schemas.openxmlformats.org/officeDocument/2006/relationships/hyperlink" Target="https://dalil.kg/document/112301#st_13" TargetMode="External"/><Relationship Id="rIdwqhevjaiat7odvjf7hedv" Type="http://schemas.openxmlformats.org/officeDocument/2006/relationships/hyperlink" Target="https://dalil.kg/document/112301#st_17" TargetMode="External"/><Relationship Id="rIdwmtxnrqjgiab6mzdagp0p" Type="http://schemas.openxmlformats.org/officeDocument/2006/relationships/hyperlink" Target="https://dalil.kg/document/160280" TargetMode="External"/><Relationship Id="rIdkpnns9aw9alq2wgddpkqb" Type="http://schemas.openxmlformats.org/officeDocument/2006/relationships/hyperlink" Target="https://dalil.kg/document/158971#pr" TargetMode="External"/><Relationship Id="rIdeiwdxzwqsonjire3clrdu" Type="http://schemas.openxmlformats.org/officeDocument/2006/relationships/hyperlink" Target="https://dalil.kg/document/160114" TargetMode="External"/><Relationship Id="rIdhplwmatbf88g-xdcxl1a3" Type="http://schemas.openxmlformats.org/officeDocument/2006/relationships/hyperlink" Target="https://dalil.kg/document/230012552" TargetMode="External"/><Relationship Id="rIdpvhuonhgnp4efnzvwievy" Type="http://schemas.openxmlformats.org/officeDocument/2006/relationships/hyperlink" Target="https://dalil.kg/document/158970" TargetMode="External"/><Relationship Id="rId56heuj9nblggirkgi7pwt" Type="http://schemas.openxmlformats.org/officeDocument/2006/relationships/hyperlink" Target="https://dalil.kg/document/160114" TargetMode="External"/><Relationship Id="rIdoizxodcks3xgnbx6aqczt" Type="http://schemas.openxmlformats.org/officeDocument/2006/relationships/hyperlink" Target="https://dalil.kg/document/160213" TargetMode="External"/><Relationship Id="rIdepbujjfwgpomm12gnaam_" Type="http://schemas.openxmlformats.org/officeDocument/2006/relationships/hyperlink" Target="https://dalil.kg/document/230012552" TargetMode="External"/><Relationship Id="rIdgjk45ziddfgpo9-thltik" Type="http://schemas.openxmlformats.org/officeDocument/2006/relationships/hyperlink" Target="https://dalil.kg/document/230029725" TargetMode="External"/><Relationship Id="rIdvbavkmqtn50ms2xqbvrge" Type="http://schemas.openxmlformats.org/officeDocument/2006/relationships/hyperlink" Target="https://dalil.kg/document/230045162"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usj908m199ordch4kbe" Type="http://schemas.openxmlformats.org/officeDocument/2006/relationships/hyperlink" Target="https://dalil.kg/document/158971" TargetMode="External"/><Relationship Id="rIdgqiyhmp0xojw3-pjjjy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2026-09-23T20:26:32.468Z</dcterms:created>
  <dcterms:modified xsi:type="dcterms:W3CDTF">2026-09-23T20:26:32.468Z</dcterms:modified>
</cp:coreProperties>
</file>

<file path=docProps/custom.xml><?xml version="1.0" encoding="utf-8"?>
<Properties xmlns="http://schemas.openxmlformats.org/officeDocument/2006/custom-properties" xmlns:vt="http://schemas.openxmlformats.org/officeDocument/2006/docPropsVTypes"/>
</file>