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учета иностранной валюты, полученной от иностранной организации, не имеющей признаков постоянного учреждения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dng_rheoj27dtj8rliz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регистрации, исчисления и исполнения налогового обязательства иностранной организацией, не имеющей признаков постоянного учреждения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определяет порядок учета иностранной валюты, полученной от иностранной организации, не имеющей признаков постоянного учреждения в Кыргызской Республике, в счет исполнения налогового обязательства.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Иностранная организация, не имеющая признаков постоянного учреждения в Кыргызской Республике, имеет право исполнять налоговое обязательство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частью 4 </w:t>
      </w:r>
      <w:hyperlink w:history="1" r:id="rId92hsuivscggtrrl4x2p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Налоговый кодекс) понятие «Постоянное учреждение» не включает оказание иностранной организацией услуг в электронной форме без использования доменного имени или IP-адреса, зарегистрированного в Кыргызской Республике, местом поставки которых признается территория Кыргызской Республики (далее – иностранная 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Налоговая регистрация иностранной организации осуществляется на основании заявления, направленного через электронный сервис информационного ресурса, размещенного на официальном веб-сайте уполномоченного налогового органа.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Заявление о налоговой регистрации подается в электронном виде через информационный ресурс, до начала осуществления поставок. Иностранные организации подлежат налоговой регистрации без прохождения государственной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Ставка налога на добавленную стоимость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НДС) устанавливается в размере 12 процентов в отношении поставок иностранной организацией.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Налоговой базой является оказание иностранной организацией электронных услуг, местом поставки которых признается территория Кыргызской Республики. Датой определения налоговой базы является последний день налогового периода, в котором поступила оплата (частичная оплата) за услугу, при оказании иностранной организацией электронных услуг, местом поставки которых признается территория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Налоговым периодом при исчислении НДС является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календарный квартал.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представления налоговой отчетности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не позднее последнего дня месяца, следующего за отчетным кварталом.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уплаты налогового обязательства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не позднее 25 числа месяца, следующего за отчетным кварталом.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Иностранная организация представляет налоговую отчетность и исполняет налоговое обязательство по выбору в иностранной валюте (доллар США, евро, российский рубль, казахский тенге, </w:t>
      </w:r>
      <w:r>
        <w:rPr>
          <w:rFonts w:ascii="Arial" w:cs="Arial" w:eastAsia="Arial" w:hAnsi="Arial"/>
          <w:sz w:val="24"/>
          <w:szCs w:val="24"/>
        </w:rPr>
        <w:t xml:space="preserve">китайский юань</w:t>
      </w:r>
      <w:r>
        <w:rPr>
          <w:rFonts w:ascii="Arial" w:cs="Arial" w:eastAsia="Arial" w:hAnsi="Arial"/>
          <w:sz w:val="24"/>
          <w:szCs w:val="24"/>
        </w:rPr>
        <w:t xml:space="preserve">) или в национальной валюте (кыргызский сом) через информационный ресурс.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9k5ezgbovzdatvbabcam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Уплата налога осуществляется по элементу дохода Бюджетной классификации доходов Кыргызской Республики – «11 411 500 (Налог на добавленную стоимость на электронные услуги иностранных организаций)».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Учет поступившего налога в иностранной валюте в Центральном казначействе Министерства финансов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В целях аккумулирования денежных средств в иностранной валюте в счет исполнения налогового обязательства от иностранных организаций Центральное казначейство Министерства финансов Кыргызской Республики (далее </w:t>
      </w: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Казначейство) определяет и открывает мультивалютный счет в уполномоченном банке по видам иностранных валют, указанных в пункте 10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Датой исполнения налогового обязательства является день принятия платежного поручения банком на перечисление причитающихся сумм налога иностранной организацией в иностранной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Уполномоченный банк производит конвертацию и зачисление на аккумуляционный счет налогового органа не позднее рабочего дня, следующего за днем зачисления налога на мультивалютный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Конвертация производится по официальному курсу Национального банка Кыргызской Республики, установленного на день конвертации иностранной валюты к национальной валюте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учета исполнения налогового обязательства в налоговом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Контроль за исполнением налогового обязательства иностранной организацией осуществляется налоговым органом, определенным уполномоченным налоговым органом (далее – налоговый орган).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Налоговое обязательство по налоговой отчетности иностранной организации (в иностранной валюте) подлежит конвертации в национальную валюту (кыргызский сом) по официальному курсу Национального банка Кыргызской Республики, установленному на последний день отчетного периода.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приеме налоговой отчетности иностранной организации, конвертация налогового обязательства в иностранной валюте осуществляется посредством использования автоматизированной информационной системы уполномоченного налогового органа, с автоматизированным заполнением налогового обязательства в национальной валюте в соответствующей ячейке налоговой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Налоговый орган по мере движения денежных средств на мультивалютном счете получает от уполномоченного банка либо от Казначейства банковскую выписку из мультивалютного 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Лицевой счет иностранной организации ведется в национальной валюте.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Разница налогового обязательства по налоговой отчетности и уплаченной суммы, образовавшаяся на лицевом счете иностранной организации в результате курсовой разницы при конвертации иностранной валюты в национальную валюту (кыргызский сом), подлежит сальдированию.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Форма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ограничений в иностранных государствах по возврату налога на добавленную стоимость дипломатическим представительствам и консульским учреждениям Кыргызской Республики, а также их сотрудникам, включая проживающих вместе с ними членов их семей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иностранного государства, осуществляющего возврат НДС дипломатическому представительству и консульскому учреждению Кыргызской Республики:_________________________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621"/>
        <w:gridCol w:w="1596"/>
        <w:gridCol w:w="1740"/>
        <w:gridCol w:w="1740"/>
        <w:gridCol w:w="1740"/>
        <w:gridCol w:w="1740"/>
      </w:tblGrid>
      <w:tr>
        <w:tc>
          <w:tcPr>
            <w:tcW w:type="dxa" w:w="16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Наименование товаров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(работ, услуг)</w:t>
            </w:r>
          </w:p>
        </w:tc>
        <w:tc>
          <w:tcPr>
            <w:tcW w:type="dxa" w:w="159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официального пользования представи-тельства</w:t>
            </w:r>
          </w:p>
        </w:tc>
        <w:tc>
          <w:tcPr>
            <w:tcW w:type="dxa" w:w="6960"/>
            <w:gridSpan w:val="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Для личного пользования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главы представительства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дипломати-ческого персонала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административно-технического персонала</w:t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членов семей персонала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</w:t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Работы, услуги</w:t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6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Другие виды ограничений: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Для уполномоченного налогового органа в Кыргызской Республике: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 ограничении по сумме одного чека пересчет производится по курсу Национального банка Кыргызской Республики на дату каждой покупки;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при ограничении по годовой сумме возврата пересчет производится по курсу Национального банка Кыргызской Республики на дату каждой покупки.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rdaghlfiqygfknobk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dalil.kg/document/159026</w:t>
      </w:r>
    </w:hyperlink>
  </w:p>
  <w:p>
    <w:pPr>
      <w:spacing w:after="0" w:before="40"/>
      <w:jc w:val="center"/>
    </w:pPr>
    <w:hyperlink w:history="1" r:id="rIdyijk_bctuhcibdsu1q8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ng_rheoj27dtj8rlizsd" Type="http://schemas.openxmlformats.org/officeDocument/2006/relationships/hyperlink" Target="https://dalil.kg/document/230020794" TargetMode="External"/><Relationship Id="rId92hsuivscggtrrl4x2pwn" Type="http://schemas.openxmlformats.org/officeDocument/2006/relationships/hyperlink" Target="https://dalil.kg/document/112340#st_28" TargetMode="External"/><Relationship Id="rId9k5ezgbovzdatvbabcamq" Type="http://schemas.openxmlformats.org/officeDocument/2006/relationships/hyperlink" Target="https://dalil.kg/document/2300207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rdaghlfiqygfknobkpk" Type="http://schemas.openxmlformats.org/officeDocument/2006/relationships/hyperlink" Target="https://dalil.kg/document/159026" TargetMode="External"/><Relationship Id="rIdyijk_bctuhcibdsu1q8n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2026-09-25T08:25:57.298Z</dcterms:created>
  <dcterms:modified xsi:type="dcterms:W3CDTF">2026-09-25T08:25:57.298Z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