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phcf3fmuyfmjc7c7j3mw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24 февраля 2022 года № 95)</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проведения контрольного закупа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fzjbtl4cvqk0fjncez2l">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и оформления материалов контрольного закупа разработан в соответствии со статьями </w:t>
      </w:r>
      <w:hyperlink w:history="1" r:id="rIdtjfrsih0os0cnim-tdnpp">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rb--exhicyuen8y3dbgom">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hbdj3bslohani8bfdc1kr">
        <w:r>
          <w:rPr>
            <w:rFonts w:ascii="Arial" w:cs="Arial" w:eastAsia="Arial" w:hAnsi="Arial"/>
            <w:color w:val="1D4ED8"/>
            <w:sz w:val="24"/>
            <w:szCs w:val="24"/>
            <w:u w:val="single"/>
          </w:rPr>
          <w:t xml:space="preserve">130</w:t>
        </w:r>
      </w:hyperlink>
      <w:r>
        <w:rPr>
          <w:rFonts w:ascii="Arial" w:cs="Arial" w:eastAsia="Arial" w:hAnsi="Arial"/>
          <w:sz w:val="24"/>
          <w:szCs w:val="24"/>
        </w:rPr>
        <w:t xml:space="preserve"> Налогового кодекса Кыргызской Республики и определяет порядок проведения и оформления материалов контрольного закупа.</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контрольного закупа по соблюдению требований налогового законодательства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контрольный закуп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акт контрольного закупа – документ, в котором оформляются результаты контрольного закупа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8)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Контрольный закуп – один из методов налогового контроля, осуществляемого без ограничения периодичности должностным лицом налогового органа или привлеченным физическим лицом путем контрольной покупки определенного количество товара или заключения контрольной сделки с субъектом для контроля за соблюдением порядка и требований по применению контрольно-кассовых машин (далее – ККМ), а также выдачи контрольного кассового чека населению.</w:t>
      </w:r>
    </w:p>
    <w:p>
      <w:pPr>
        <w:spacing w:after="120"/>
        <w:ind w:firstLine="709"/>
        <w:jc w:val="both"/>
      </w:pPr>
      <w:r>
        <w:rPr>
          <w:rFonts w:ascii="Arial" w:cs="Arial" w:eastAsia="Arial" w:hAnsi="Arial"/>
          <w:sz w:val="24"/>
          <w:szCs w:val="24"/>
        </w:rPr>
        <w:t xml:space="preserve">4.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в торговых операциях или при выполнении работ и оказании услуг, а также на наличие и применение оборудования
 (далее – программно-техническое устройство), предназначенного для осуществления платежей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p>
    <w:p>
      <w:pPr>
        <w:spacing w:after="120"/>
        <w:ind w:firstLine="709"/>
        <w:jc w:val="both"/>
      </w:pPr>
      <w:r>
        <w:rPr>
          <w:rFonts w:ascii="Arial" w:cs="Arial" w:eastAsia="Arial" w:hAnsi="Arial"/>
          <w:sz w:val="24"/>
          <w:szCs w:val="24"/>
        </w:rPr>
        <w:t xml:space="preserve">Контрольный закуп осуществляется без ограничения периодичности и может быть проведен отдельно или в ходе проведения рейдового налогового контроля.</w:t>
      </w:r>
    </w:p>
    <w:p>
      <w:pPr>
        <w:spacing w:after="120"/>
        <w:ind w:firstLine="709"/>
        <w:jc w:val="both"/>
      </w:pPr>
      <w:r>
        <w:rPr>
          <w:rFonts w:ascii="Arial" w:cs="Arial" w:eastAsia="Arial" w:hAnsi="Arial"/>
          <w:sz w:val="24"/>
          <w:szCs w:val="24"/>
        </w:rPr>
        <w:t xml:space="preserve">При использовании субъектом программных средств учета товаров, работ и услуг (далее – ПСУ) контрольный закуп производится органами налоговой службы для контроля выдачи контрольно-кассовых чеков населению на соответствие их документам, предъявляемым к оплате.</w:t>
      </w:r>
    </w:p>
    <w:p>
      <w:pPr>
        <w:spacing w:after="120"/>
        <w:ind w:firstLine="709"/>
        <w:jc w:val="both"/>
      </w:pPr>
      <w:r>
        <w:rPr>
          <w:rFonts w:ascii="Arial" w:cs="Arial" w:eastAsia="Arial" w:hAnsi="Arial"/>
          <w:sz w:val="24"/>
          <w:szCs w:val="24"/>
        </w:rPr>
        <w:t xml:space="preserve">5. При проведении контрольного закупа органы налоговой службы вправе использовать данные, хранящиеся в ККМ, информационных системах уполномоченного налогового органа и/или ПСУ.</w:t>
      </w:r>
    </w:p>
    <w:p>
      <w:pPr>
        <w:spacing w:after="120"/>
        <w:ind w:firstLine="709"/>
        <w:jc w:val="both"/>
      </w:pPr>
      <w:r>
        <w:rPr>
          <w:rFonts w:ascii="Arial" w:cs="Arial" w:eastAsia="Arial" w:hAnsi="Arial"/>
          <w:sz w:val="24"/>
          <w:szCs w:val="24"/>
        </w:rPr>
        <w:t xml:space="preserve">6. Целью проведения контрольного закупа является:</w:t>
      </w:r>
    </w:p>
    <w:p>
      <w:pPr>
        <w:spacing w:after="120"/>
        <w:ind w:firstLine="709"/>
        <w:jc w:val="both"/>
      </w:pPr>
      <w:r>
        <w:rPr>
          <w:rFonts w:ascii="Arial" w:cs="Arial" w:eastAsia="Arial" w:hAnsi="Arial"/>
          <w:sz w:val="24"/>
          <w:szCs w:val="24"/>
        </w:rPr>
        <w:t xml:space="preserve">1) установление недобросовестных налогоплательщиков в части соблюдения требований налогового законодательства по применению ККМ при осуществлении денежных расчетов в торговых операциях или при выполнении работ и оказании услуг;</w:t>
      </w:r>
    </w:p>
    <w:p>
      <w:pPr>
        <w:spacing w:after="120"/>
        <w:ind w:firstLine="709"/>
        <w:jc w:val="both"/>
      </w:pPr>
      <w:r>
        <w:rPr>
          <w:rFonts w:ascii="Arial" w:cs="Arial" w:eastAsia="Arial" w:hAnsi="Arial"/>
          <w:sz w:val="24"/>
          <w:szCs w:val="24"/>
        </w:rPr>
        <w:t xml:space="preserve">2) сбор и анализ деятельности субъекта для определения уровня риск ориентированности в проведении рейдового налогового контроля и/или установления налогового поста.</w:t>
      </w:r>
    </w:p>
    <w:p>
      <w:pPr>
        <w:spacing w:after="120"/>
        <w:ind w:firstLine="709"/>
        <w:jc w:val="both"/>
      </w:pPr>
      <w:r>
        <w:rPr>
          <w:rFonts w:ascii="Arial" w:cs="Arial" w:eastAsia="Arial" w:hAnsi="Arial"/>
          <w:sz w:val="24"/>
          <w:szCs w:val="24"/>
        </w:rPr>
        <w:t xml:space="preserve">7. Основаниями для назначения контрольного закупа являются:</w:t>
      </w:r>
    </w:p>
    <w:p>
      <w:pPr>
        <w:spacing w:after="120"/>
        <w:ind w:firstLine="709"/>
        <w:jc w:val="both"/>
      </w:pPr>
      <w:r>
        <w:rPr>
          <w:rFonts w:ascii="Arial" w:cs="Arial" w:eastAsia="Arial" w:hAnsi="Arial"/>
          <w:sz w:val="24"/>
          <w:szCs w:val="24"/>
        </w:rPr>
        <w:t xml:space="preserve">1) неактивность ККМ по данным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не периодичность пробивания контрольно-кассовых чеков;</w:t>
      </w:r>
    </w:p>
    <w:p>
      <w:pPr>
        <w:spacing w:after="120"/>
        <w:ind w:firstLine="709"/>
        <w:jc w:val="both"/>
      </w:pPr>
      <w:r>
        <w:rPr>
          <w:rFonts w:ascii="Arial" w:cs="Arial" w:eastAsia="Arial" w:hAnsi="Arial"/>
          <w:sz w:val="24"/>
          <w:szCs w:val="24"/>
        </w:rPr>
        <w:t xml:space="preserve">3) пробивание контрольно-кассовых чеков на большие суммы выручки одним чеком;</w:t>
      </w:r>
    </w:p>
    <w:p>
      <w:pPr>
        <w:spacing w:after="120"/>
        <w:ind w:firstLine="709"/>
        <w:jc w:val="both"/>
      </w:pPr>
      <w:r>
        <w:rPr>
          <w:rFonts w:ascii="Arial" w:cs="Arial" w:eastAsia="Arial" w:hAnsi="Arial"/>
          <w:sz w:val="24"/>
          <w:szCs w:val="24"/>
        </w:rPr>
        <w:t xml:space="preserve">4) пробитие минимального количества контрольно-кассовых чеков за определенный период времени работы субъекта;</w:t>
      </w:r>
    </w:p>
    <w:p>
      <w:pPr>
        <w:spacing w:after="120"/>
        <w:ind w:firstLine="709"/>
        <w:jc w:val="both"/>
      </w:pPr>
      <w:r>
        <w:rPr>
          <w:rFonts w:ascii="Arial" w:cs="Arial" w:eastAsia="Arial" w:hAnsi="Arial"/>
          <w:sz w:val="24"/>
          <w:szCs w:val="24"/>
        </w:rPr>
        <w:t xml:space="preserve">5) применение ККМ в недоступном для населения месте;</w:t>
      </w:r>
    </w:p>
    <w:p>
      <w:pPr>
        <w:spacing w:after="120"/>
        <w:ind w:firstLine="709"/>
        <w:jc w:val="both"/>
      </w:pPr>
      <w:r>
        <w:rPr>
          <w:rFonts w:ascii="Arial" w:cs="Arial" w:eastAsia="Arial" w:hAnsi="Arial"/>
          <w:sz w:val="24"/>
          <w:szCs w:val="24"/>
        </w:rPr>
        <w:t xml:space="preserve">6) жалоба физических лиц;</w:t>
      </w:r>
    </w:p>
    <w:p>
      <w:pPr>
        <w:spacing w:after="120"/>
        <w:ind w:firstLine="709"/>
        <w:jc w:val="both"/>
      </w:pPr>
      <w:r>
        <w:rPr>
          <w:rFonts w:ascii="Arial" w:cs="Arial" w:eastAsia="Arial" w:hAnsi="Arial"/>
          <w:sz w:val="24"/>
          <w:szCs w:val="24"/>
        </w:rPr>
        <w:t xml:space="preserve">7) выписка электронных счет-фактур и/или упрощенной счет-фактуры в адрес населения с указанием ИНН девятками, но без регистрации ККМ;</w:t>
      </w:r>
    </w:p>
    <w:p>
      <w:pPr>
        <w:spacing w:after="120"/>
        <w:ind w:firstLine="709"/>
        <w:jc w:val="both"/>
      </w:pPr>
      <w:r>
        <w:rPr>
          <w:rFonts w:ascii="Arial" w:cs="Arial" w:eastAsia="Arial" w:hAnsi="Arial"/>
          <w:sz w:val="24"/>
          <w:szCs w:val="24"/>
        </w:rPr>
        <w:t xml:space="preserve">8) по результатам проведенного анализа факторов риска неприменения ККМ.</w:t>
      </w:r>
    </w:p>
    <w:p>
      <w:pPr>
        <w:spacing w:after="120"/>
        <w:ind w:firstLine="709"/>
        <w:jc w:val="both"/>
      </w:pPr>
      <w:r>
        <w:rPr>
          <w:rFonts w:ascii="Arial" w:cs="Arial" w:eastAsia="Arial" w:hAnsi="Arial"/>
          <w:sz w:val="24"/>
          <w:szCs w:val="24"/>
        </w:rPr>
        <w:t xml:space="preserve">8. Контрольный закуп проводится должностным лицом органа налоговой службы (далее – сотрудник).</w:t>
      </w:r>
    </w:p>
    <w:p>
      <w:pPr>
        <w:spacing w:after="120"/>
        <w:ind w:firstLine="709"/>
        <w:jc w:val="both"/>
      </w:pPr>
      <w:r>
        <w:rPr>
          <w:rFonts w:ascii="Arial" w:cs="Arial" w:eastAsia="Arial" w:hAnsi="Arial"/>
          <w:sz w:val="24"/>
          <w:szCs w:val="24"/>
        </w:rPr>
        <w:t xml:space="preserve">9. В случае возврата товара, приобретенного при проведении контрольного закупа, продавец и/или изготовитель/производитель по требованию сотрудника обязан вернуть ему в полном размере денежные средства, уплаченные за товар (при условии сохранности товарного вида).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проведения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Для проведения контрольного закупа руководитель органа налоговой службы или лицо, уполномоченное руководителем органа налоговой службы, подписывает (подтверждает) предписание по форме, утвержденной уполномоченным налоговым органом, на соответствующем носителе, содержащее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w:t>
      </w:r>
    </w:p>
    <w:p>
      <w:pPr>
        <w:spacing w:after="120"/>
        <w:ind w:firstLine="709"/>
        <w:jc w:val="both"/>
      </w:pPr>
      <w:r>
        <w:rPr>
          <w:rFonts w:ascii="Arial" w:cs="Arial" w:eastAsia="Arial" w:hAnsi="Arial"/>
          <w:sz w:val="24"/>
          <w:szCs w:val="24"/>
        </w:rPr>
        <w:t xml:space="preserve">2) наименование органа налоговой службы;</w:t>
      </w:r>
    </w:p>
    <w:p>
      <w:pPr>
        <w:spacing w:after="120"/>
        <w:ind w:firstLine="709"/>
        <w:jc w:val="both"/>
      </w:pPr>
      <w:r>
        <w:rPr>
          <w:rFonts w:ascii="Arial" w:cs="Arial" w:eastAsia="Arial" w:hAnsi="Arial"/>
          <w:sz w:val="24"/>
          <w:szCs w:val="24"/>
        </w:rPr>
        <w:t xml:space="preserve">3) фамилия, имя, отчество сотрудника, которому поручено проведение контрольного закупа;</w:t>
      </w:r>
    </w:p>
    <w:p>
      <w:pPr>
        <w:spacing w:after="120"/>
        <w:ind w:firstLine="709"/>
        <w:jc w:val="both"/>
      </w:pPr>
      <w:r>
        <w:rPr>
          <w:rFonts w:ascii="Arial" w:cs="Arial" w:eastAsia="Arial" w:hAnsi="Arial"/>
          <w:sz w:val="24"/>
          <w:szCs w:val="24"/>
        </w:rPr>
        <w:t xml:space="preserve">4) полное наименование субъекта;</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контрольного закупа;</w:t>
      </w:r>
    </w:p>
    <w:p>
      <w:pPr>
        <w:spacing w:after="120"/>
        <w:ind w:firstLine="709"/>
        <w:jc w:val="both"/>
      </w:pPr>
      <w:r>
        <w:rPr>
          <w:rFonts w:ascii="Arial" w:cs="Arial" w:eastAsia="Arial" w:hAnsi="Arial"/>
          <w:sz w:val="24"/>
          <w:szCs w:val="24"/>
        </w:rPr>
        <w:t xml:space="preserve">7) срок проведения контрольного закупа.</w:t>
      </w:r>
    </w:p>
    <w:p>
      <w:pPr>
        <w:spacing w:after="120"/>
        <w:ind w:firstLine="709"/>
        <w:jc w:val="both"/>
      </w:pPr>
      <w:r>
        <w:rPr>
          <w:rFonts w:ascii="Arial" w:cs="Arial" w:eastAsia="Arial" w:hAnsi="Arial"/>
          <w:sz w:val="24"/>
          <w:szCs w:val="24"/>
        </w:rPr>
        <w:t xml:space="preserve">Предписание на право проведения контрольного закупа оформляется посредством информационной системы уполномоченного налогового органа. Предписание должно быть подписано (подтверждено)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возможно распечатывание предписания в бумажной форме, подлинность которого можно проверить QR-кодом.</w:t>
      </w:r>
    </w:p>
    <w:p>
      <w:pPr>
        <w:spacing w:after="120"/>
        <w:ind w:firstLine="709"/>
        <w:jc w:val="both"/>
      </w:pPr>
      <w:r>
        <w:rPr>
          <w:rFonts w:ascii="Arial" w:cs="Arial" w:eastAsia="Arial" w:hAnsi="Arial"/>
          <w:sz w:val="24"/>
          <w:szCs w:val="24"/>
        </w:rPr>
        <w:t xml:space="preserve">11. По прибытии на место дислокации субъекта, у которого необходимо провести контрольный закуп сотрудник и/или привлеченное физическое лицо анализирует ситуацию и осуществляет визуальное наблюдение за деятельностью субъекта на предмет применения им ККМ, ПСУ и/или програмно-технического устройства, затем проводит контрольный закуп. После проведения контрольного закупа, сотрудник предъявляет субъекту и/или его ответственному лицу (физическое лицо, выполняющее определенные действия в интересах субъекта, которое находится в трудовых отношениях с субъектом) служебное удостоверение (в твердом либо в электронном виде) и предписание в электронной форме на соответствующем носителе для ознакомления, подтверждая графической подписью. Сотрудник также может предъявить субъекту или его ответственному лицу предписание в бумажном виде.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12. Субъект или его ответственное лицо вправе проверить подлинность предписания, используя QR-код, размещенный на предписании в электронном виде.</w:t>
      </w:r>
    </w:p>
    <w:p>
      <w:pPr>
        <w:spacing w:after="120"/>
        <w:ind w:firstLine="709"/>
        <w:jc w:val="both"/>
      </w:pPr>
      <w:r>
        <w:rPr>
          <w:rFonts w:ascii="Arial" w:cs="Arial" w:eastAsia="Arial" w:hAnsi="Arial"/>
          <w:sz w:val="24"/>
          <w:szCs w:val="24"/>
        </w:rPr>
        <w:t xml:space="preserve">13. В случае отказа субъекта или его ответственного лица от ознакомления с предписанием, сотрудник указывает в предписании на соответствующем носителе или в бланке предписания в бумажном виде информацию об отказе. Отказ от ознакомления с предписанием не является препятствием для проведения контрольного закупа.</w:t>
      </w:r>
    </w:p>
    <w:p>
      <w:pPr>
        <w:spacing w:after="120"/>
        <w:ind w:firstLine="709"/>
        <w:jc w:val="both"/>
      </w:pPr>
      <w:r>
        <w:rPr>
          <w:rFonts w:ascii="Arial" w:cs="Arial" w:eastAsia="Arial" w:hAnsi="Arial"/>
          <w:sz w:val="24"/>
          <w:szCs w:val="24"/>
        </w:rPr>
        <w:t xml:space="preserve">14. После предъявления предписания и служебного удостоверения сотрудник требует у субъекта или его ответственного лица пробить х-отчет от ККМ и/или промежуточный отчет от ПСУ на момент проведения контрольного закупа.</w:t>
      </w:r>
    </w:p>
    <w:p>
      <w:pPr>
        <w:spacing w:after="120"/>
        <w:ind w:firstLine="709"/>
        <w:jc w:val="both"/>
      </w:pPr>
      <w:r>
        <w:rPr>
          <w:rFonts w:ascii="Arial" w:cs="Arial" w:eastAsia="Arial" w:hAnsi="Arial"/>
          <w:sz w:val="24"/>
          <w:szCs w:val="24"/>
        </w:rPr>
        <w:t xml:space="preserve">Сотрудник, получив х-отчет и/или промежуточный отчет, вместе с субъектом или его ответственным лицом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(далее –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сотрудником производится фотовидеофиксация и в акте снятия остатков наличных денежных средств вносится запись «от подписания акта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В случае установления отсутствия ККМ или применения неисправного ККМ, то данный факт фиксируется в акте контрольного закупа и по результатам его рассмотрения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15. Если субъект на одном объекте применяет несколько ККМ, то контроль кассовой дисциплины осуществляется по каждой ККМ отдельно.</w:t>
      </w:r>
    </w:p>
    <w:p>
      <w:pPr>
        <w:spacing w:after="120"/>
        <w:ind w:firstLine="709"/>
        <w:jc w:val="both"/>
      </w:pPr>
      <w:r>
        <w:rPr>
          <w:rFonts w:ascii="Arial" w:cs="Arial" w:eastAsia="Arial" w:hAnsi="Arial"/>
          <w:sz w:val="24"/>
          <w:szCs w:val="24"/>
        </w:rPr>
        <w:t xml:space="preserve">16. При снятии остатков наличных денежных средств в кассе сотрудник вправе производить обследование территории, помещения, объектов имущества (в том числе транспортных средств)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17. Фактический остаток наличных денежных средств в кассе на момент рейдового налогового контроля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18. Если наличных денежных средств в кассе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акте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по данному выявленному факту,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в кассе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19. Если наличных денежных средств в кассе оказалось меньше, чем сумма, указанная в х-отчете и/или в промежуточном отчете,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ответственное лицо субъекта обязан предоставить объяснительную, документы, подтверждающие расходы на недостающую сумму, которые прилагаются к акту контрольного закупа.</w:t>
      </w:r>
    </w:p>
    <w:p>
      <w:pPr>
        <w:spacing w:after="120"/>
        <w:ind w:firstLine="709"/>
        <w:jc w:val="both"/>
      </w:pPr>
      <w:r>
        <w:rPr>
          <w:rFonts w:ascii="Arial" w:cs="Arial" w:eastAsia="Arial" w:hAnsi="Arial"/>
          <w:sz w:val="24"/>
          <w:szCs w:val="24"/>
        </w:rPr>
        <w:t xml:space="preserve">20. Если сумма, указанная в промежуточном отчете, оказалась больше, чем сумма, указанная в х-отчете, то сумма разницы (излишка) является подтверждением непробития контрольно-кассового чека и в акт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обязан предоставить в письменном виде объяснительную,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отказа субъекта в предоставлении объяснительной в акте контрольного закупа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Если сумма, указанная в промежуточном отчете, оказалась меньше, чем сумма, указанная в х-отчете, то сумма разницы относится к недостаче и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21. При наличии оборудования и/или технологий (программно-технического устройства), предназначенных для приема платежей в безналичной форме, сличается сумма безналичных денежных средств, которая указана в чеке или выписке по уплаченным суммам, посредством всех оборудований и/или технологий (программно-технического устройства), предназначенных для приема платежей в безналичной форме, по отношению к безналичной выручке, указанной в х-отчете.</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больше величины одного расчетного показателя чем сумма, указанная в х-отчете и/или в промежуточном отчете, то сумма излишков является подтверждением факта непробития контрольно-кассового чека покупателю (клиенту) и в акт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которая прилагается к акту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меньше, чем сумма, указанная в х-отчете и/или в промежуточном отчете, то в акт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или его ответственное лицо обязан предоставить документ, подтверждающий расходы на недостающую сумму, который прилагается к акту контрольного закупа.</w:t>
      </w:r>
    </w:p>
    <w:p>
      <w:pPr>
        <w:spacing w:after="120"/>
        <w:ind w:firstLine="709"/>
        <w:jc w:val="both"/>
      </w:pPr>
      <w:r>
        <w:rPr>
          <w:rFonts w:ascii="Arial" w:cs="Arial" w:eastAsia="Arial" w:hAnsi="Arial"/>
          <w:sz w:val="24"/>
          <w:szCs w:val="24"/>
        </w:rPr>
        <w:t xml:space="preserve">22. В зависимости от установленного вида нарушения требований и порядка применения ККМ в Акт контрольного закупа вносятся следующие записи: «неприменение ККМ», «непробитие чека», «невыдача чека», «неисправная ККМ» и информация о приложении акта снятия наличных денежных средств в кассе.</w:t>
      </w:r>
    </w:p>
    <w:p>
      <w:pPr>
        <w:spacing w:after="120"/>
        <w:ind w:firstLine="709"/>
        <w:jc w:val="both"/>
      </w:pPr>
      <w:r>
        <w:rPr>
          <w:rFonts w:ascii="Arial" w:cs="Arial" w:eastAsia="Arial" w:hAnsi="Arial"/>
          <w:sz w:val="24"/>
          <w:szCs w:val="24"/>
        </w:rPr>
        <w:t xml:space="preserve">23. На основании установленных нарушений сотрудник составляет протокол в соответствии с Кодексом Кыргызской Республики о правонарушениях с указанием конкретного вида правонарушения, которое подписывается сотрудником и субъектом или его ответственным лицом.</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направляется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24. При неисправности ККМ учет покупок и продаж субъектом ведется в книге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В случае неприменения бланков квитанций и книги учета бланков квитанций на момент неисправности ККМ в акте контрольного закупа указывается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25. При использовании ПСУ, а также при безналичном расчете помимо х-отчета, субъект обязан предоставить сотруднику промежуточный отчет, формируемый посредством ПСУ, промежуточный чек, формируемый инструментами безналичной оплаты, по уплаченным суммам посредством таких инструментов для сличения безналичных денежных средств по отношению к х-отчету.</w:t>
      </w:r>
    </w:p>
    <w:p>
      <w:pPr>
        <w:spacing w:after="120"/>
        <w:ind w:firstLine="709"/>
        <w:jc w:val="both"/>
      </w:pPr>
      <w:r>
        <w:rPr>
          <w:rFonts w:ascii="Arial" w:cs="Arial" w:eastAsia="Arial" w:hAnsi="Arial"/>
          <w:sz w:val="24"/>
          <w:szCs w:val="24"/>
        </w:rPr>
        <w:t xml:space="preserve">26. В случае отказа субъекта или его ответственного лица в предоставлении сотруднику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в акте контрольного закупа указывается информация об отказе в предоставлении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При этом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 выраженный непредоставлением х-отчета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 указанием данных этого лица. В случае отказа субъекта или ответственного лица от подписания акта воспрепятствования, сотрудником производится фотовидеофиксация и в акте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Кодексом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направляются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Оформление и рассмотрение результатов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После снятия остатков наличных денежных средств сотрудник оформляет акт контрольного закупа, оформленный по форме, утверждаемой уполномоченным налоговым органом, где в обязательном порядке указываются:</w:t>
      </w:r>
    </w:p>
    <w:p>
      <w:pPr>
        <w:spacing w:after="120"/>
        <w:ind w:firstLine="709"/>
        <w:jc w:val="both"/>
      </w:pPr>
      <w:r>
        <w:rPr>
          <w:rFonts w:ascii="Arial" w:cs="Arial" w:eastAsia="Arial" w:hAnsi="Arial"/>
          <w:sz w:val="24"/>
          <w:szCs w:val="24"/>
        </w:rPr>
        <w:t xml:space="preserve">1) дата, место, время начала проведения контрольного закупа;</w:t>
      </w:r>
    </w:p>
    <w:p>
      <w:pPr>
        <w:spacing w:after="120"/>
        <w:ind w:firstLine="709"/>
        <w:jc w:val="both"/>
      </w:pPr>
      <w:r>
        <w:rPr>
          <w:rFonts w:ascii="Arial" w:cs="Arial" w:eastAsia="Arial" w:hAnsi="Arial"/>
          <w:sz w:val="24"/>
          <w:szCs w:val="24"/>
        </w:rPr>
        <w:t xml:space="preserve">2) Ф.И.О. и должность сотрудника;</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Ф.И.О. субъекта, присутствовавшего на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6) наименование и адрес объекта предпринимательства;</w:t>
      </w:r>
    </w:p>
    <w:p>
      <w:pPr>
        <w:spacing w:after="120"/>
        <w:ind w:firstLine="709"/>
        <w:jc w:val="both"/>
      </w:pPr>
      <w:r>
        <w:rPr>
          <w:rFonts w:ascii="Arial" w:cs="Arial" w:eastAsia="Arial" w:hAnsi="Arial"/>
          <w:sz w:val="24"/>
          <w:szCs w:val="24"/>
        </w:rPr>
        <w:t xml:space="preserve">7) вид деятельности;</w:t>
      </w:r>
    </w:p>
    <w:p>
      <w:pPr>
        <w:spacing w:after="120"/>
        <w:ind w:firstLine="709"/>
        <w:jc w:val="both"/>
      </w:pPr>
      <w:r>
        <w:rPr>
          <w:rFonts w:ascii="Arial" w:cs="Arial" w:eastAsia="Arial" w:hAnsi="Arial"/>
          <w:sz w:val="24"/>
          <w:szCs w:val="24"/>
        </w:rPr>
        <w:t xml:space="preserve">8) наименование и ИНН субъекта;</w:t>
      </w:r>
    </w:p>
    <w:p>
      <w:pPr>
        <w:spacing w:after="120"/>
        <w:ind w:firstLine="709"/>
        <w:jc w:val="both"/>
      </w:pPr>
      <w:r>
        <w:rPr>
          <w:rFonts w:ascii="Arial" w:cs="Arial" w:eastAsia="Arial" w:hAnsi="Arial"/>
          <w:sz w:val="24"/>
          <w:szCs w:val="24"/>
        </w:rPr>
        <w:t xml:space="preserve">9)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10) наличие документа, подтверждающего факт работы реализатора (кассира), с указанием Ф.И.О., ИНН и занимаемой должности;</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наличие ценников (прейскурантов, меню);</w:t>
      </w:r>
    </w:p>
    <w:p>
      <w:pPr>
        <w:spacing w:after="120"/>
        <w:ind w:firstLine="709"/>
        <w:jc w:val="both"/>
      </w:pPr>
      <w:r>
        <w:rPr>
          <w:rFonts w:ascii="Arial" w:cs="Arial" w:eastAsia="Arial" w:hAnsi="Arial"/>
          <w:sz w:val="24"/>
          <w:szCs w:val="24"/>
        </w:rPr>
        <w:t xml:space="preserve">13) наличие информации о необходимости требования контрольно-кассового чека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14) наименование, цена, количество и сумма закупленного товара (услуг);</w:t>
      </w:r>
    </w:p>
    <w:p>
      <w:pPr>
        <w:spacing w:after="120"/>
        <w:ind w:firstLine="709"/>
        <w:jc w:val="both"/>
      </w:pPr>
      <w:r>
        <w:rPr>
          <w:rFonts w:ascii="Arial" w:cs="Arial" w:eastAsia="Arial" w:hAnsi="Arial"/>
          <w:sz w:val="24"/>
          <w:szCs w:val="24"/>
        </w:rPr>
        <w:t xml:space="preserve">15) регистрационные данные ККМ;</w:t>
      </w:r>
    </w:p>
    <w:p>
      <w:pPr>
        <w:spacing w:after="120"/>
        <w:ind w:firstLine="709"/>
        <w:jc w:val="both"/>
      </w:pPr>
      <w:r>
        <w:rPr>
          <w:rFonts w:ascii="Arial" w:cs="Arial" w:eastAsia="Arial" w:hAnsi="Arial"/>
          <w:sz w:val="24"/>
          <w:szCs w:val="24"/>
        </w:rPr>
        <w:t xml:space="preserve">16) информация о результате контрольного закупа;</w:t>
      </w:r>
    </w:p>
    <w:p>
      <w:pPr>
        <w:spacing w:after="120"/>
        <w:ind w:firstLine="709"/>
        <w:jc w:val="both"/>
      </w:pPr>
      <w:r>
        <w:rPr>
          <w:rFonts w:ascii="Arial" w:cs="Arial" w:eastAsia="Arial" w:hAnsi="Arial"/>
          <w:sz w:val="24"/>
          <w:szCs w:val="24"/>
        </w:rPr>
        <w:t xml:space="preserve">17) сумма наличной выручки в кассе согласно акту снятия наличных денежных средств;</w:t>
      </w:r>
    </w:p>
    <w:p>
      <w:pPr>
        <w:spacing w:after="120"/>
        <w:ind w:firstLine="709"/>
        <w:jc w:val="both"/>
      </w:pPr>
      <w:r>
        <w:rPr>
          <w:rFonts w:ascii="Arial" w:cs="Arial" w:eastAsia="Arial" w:hAnsi="Arial"/>
          <w:sz w:val="24"/>
          <w:szCs w:val="24"/>
        </w:rPr>
        <w:t xml:space="preserve">18) сумма, указанная в х-отчете, сам х-отчет прикладывается к акту контрольного закупа;</w:t>
      </w:r>
    </w:p>
    <w:p>
      <w:pPr>
        <w:spacing w:after="120"/>
        <w:ind w:firstLine="709"/>
        <w:jc w:val="both"/>
      </w:pPr>
      <w:r>
        <w:rPr>
          <w:rFonts w:ascii="Arial" w:cs="Arial" w:eastAsia="Arial" w:hAnsi="Arial"/>
          <w:sz w:val="24"/>
          <w:szCs w:val="24"/>
        </w:rPr>
        <w:t xml:space="preserve">19) сумма, указанная в промежуточном отчете посредством программных средств учета товаров, работ и услуг, сам промежуточный отчет прикладывается к акту контрольного закупа.</w:t>
      </w:r>
    </w:p>
    <w:p>
      <w:pPr>
        <w:spacing w:after="120"/>
        <w:ind w:firstLine="709"/>
        <w:jc w:val="both"/>
      </w:pPr>
      <w:r>
        <w:rPr>
          <w:rFonts w:ascii="Arial" w:cs="Arial" w:eastAsia="Arial" w:hAnsi="Arial"/>
          <w:sz w:val="24"/>
          <w:szCs w:val="24"/>
        </w:rPr>
        <w:t xml:space="preserve">28. Акт контрольного закупа и приложения к нему могут быть оформлены как в бумажной, так и в электронной форме на соответствующем носителе. Оформленный в бумажной форме акт контрольного закупа подписывается сотрудником и субъектом или ответственным лицом субъекта, при оформлении акта в электронной форме сотрудник и субъект или его ответственное лицо используют графическую подпись.</w:t>
      </w:r>
    </w:p>
    <w:p>
      <w:pPr>
        <w:spacing w:after="120"/>
        <w:ind w:firstLine="709"/>
        <w:jc w:val="both"/>
      </w:pPr>
      <w:r>
        <w:rPr>
          <w:rFonts w:ascii="Arial" w:cs="Arial" w:eastAsia="Arial" w:hAnsi="Arial"/>
          <w:sz w:val="24"/>
          <w:szCs w:val="24"/>
        </w:rPr>
        <w:t xml:space="preserve">29. При оформлении в бумажной форме второй экземпляр акта контрольного закупа со всеми приложениями вручается субъекту или его ответственному лицу под подпись. Если субъект или его ответственное лицо отказывается от подписания и получения акта контрольного закупа с приложениями под подпись, то в акт контрольного закупа, который подписывается сотрудником, вносится запись «от подписания акта контрольного закупа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30. При оформлении в электронной форме акт контрольного закупа со всеми приложениями направляется в личный кабинет субъекта либо на его электронный адрес или мессенджер субъекта. Если субъект отказывается от подписания и получения акта контрольного закупа под подпись графической подписью, то в электронный акт контрольного закупа вносится запись «от подписания акта контрольного закупа отказался, второй экземпляр данного акта вручен», производится фотовидеосъемка и материалы направляются в личный кабинет субъекта либо на его электронный адрес или мессенджер субъекта.</w:t>
      </w:r>
    </w:p>
    <w:p>
      <w:pPr>
        <w:spacing w:after="120"/>
        <w:ind w:firstLine="709"/>
        <w:jc w:val="both"/>
      </w:pPr>
      <w:r>
        <w:rPr>
          <w:rFonts w:ascii="Arial" w:cs="Arial" w:eastAsia="Arial" w:hAnsi="Arial"/>
          <w:sz w:val="24"/>
          <w:szCs w:val="24"/>
        </w:rPr>
        <w:t xml:space="preserve">31. В случае недопуска к проведению контрольного закупа (в том числе к снятию остатков денежных средств в кассе) сотрудник в соответствии с требованиями статей 132 и 136 Налогового кодекса Кыргызской Республики составляет акт воспрепятствования по форме, утвержденной уполномоченным налоговым органом, в бумажной или электронной форме, в котором указываются дата и место составления, Ф.И.О. и должность сотрудника, кем и каким образом было оказано воспрепятствование. Составленный акт воспрепятствования в бумажном виде подписывается сотрудником и после его ознакомления – субъектом, в электронном виде сотрудник и субъект или ответственное лицо подписываются графическим подписью. При этом у субъекта берется объяснительная, где указывается, по какой причине оказано воспрепятствование, которая прилагается к акту воспрепятствования.</w:t>
      </w:r>
    </w:p>
    <w:p>
      <w:pPr>
        <w:spacing w:after="120"/>
        <w:ind w:firstLine="709"/>
        <w:jc w:val="both"/>
      </w:pPr>
      <w:r>
        <w:rPr>
          <w:rFonts w:ascii="Arial" w:cs="Arial" w:eastAsia="Arial" w:hAnsi="Arial"/>
          <w:sz w:val="24"/>
          <w:szCs w:val="24"/>
        </w:rPr>
        <w:t xml:space="preserve">В случае отказа от подписи и/или от дачи объяснительной субъектом, сотрудником производится соответствующая запись в Акте воспрепятствования и фотовидеофиксация.</w:t>
      </w:r>
    </w:p>
    <w:p>
      <w:pPr>
        <w:spacing w:after="120"/>
        <w:ind w:firstLine="709"/>
        <w:jc w:val="both"/>
      </w:pPr>
      <w:r>
        <w:rPr>
          <w:rFonts w:ascii="Arial" w:cs="Arial" w:eastAsia="Arial" w:hAnsi="Arial"/>
          <w:sz w:val="24"/>
          <w:szCs w:val="24"/>
        </w:rPr>
        <w:t xml:space="preserve">32. Результаты контрольного закупа служат одним из оснований для определения факторов риска при формировании риск-ориентированных субъектов, подлежащих рейдовому налоговому контролю и/или установлению налогового поста.</w:t>
      </w:r>
    </w:p>
    <w:p>
      <w:pPr>
        <w:spacing w:after="120"/>
        <w:ind w:firstLine="709"/>
        <w:jc w:val="both"/>
      </w:pPr>
      <w:r>
        <w:rPr>
          <w:rFonts w:ascii="Arial" w:cs="Arial" w:eastAsia="Arial" w:hAnsi="Arial"/>
          <w:sz w:val="24"/>
          <w:szCs w:val="24"/>
        </w:rPr>
        <w:t xml:space="preserve">33. В случае выявления других нарушений сотрудник в присутствии субъекта или ответственного лица фиксирует данный факт фотовидеофиксацией и передает в налоговый орган по месту налоговой (учетной) регистрации субъекта. Соответствующий налоговый орган, получив информацию, проводит определенный налоговый контроль в соответствии с налоговым законодательством и принимает меры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s7b8w6sbql-jq2zpio-">
      <w:r>
        <w:rPr>
          <w:rFonts w:ascii="Arial" w:cs="Arial" w:eastAsia="Arial" w:hAnsi="Arial"/>
          <w:color w:val="132D3F"/>
          <w:sz w:val="16"/>
          <w:szCs w:val="16"/>
          <w:u w:val="single"/>
        </w:rPr>
        <w:t xml:space="preserve">dalil.kg/document/159030</w:t>
      </w:r>
    </w:hyperlink>
  </w:p>
  <w:p>
    <w:pPr>
      <w:spacing w:after="0" w:before="40"/>
      <w:jc w:val="center"/>
    </w:pPr>
    <w:hyperlink w:history="1" r:id="rIduhybl80qs7bardk04hr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cf3fmuyfmjc7c7j3mwl" Type="http://schemas.openxmlformats.org/officeDocument/2006/relationships/hyperlink" Target="https://dalil.kg/document/159028" TargetMode="External"/><Relationship Id="rIdxfzjbtl4cvqk0fjncez2l" Type="http://schemas.openxmlformats.org/officeDocument/2006/relationships/hyperlink" Target="https://dalil.kg/document/230030441" TargetMode="External"/><Relationship Id="rIdtjfrsih0os0cnim-tdnpp" Type="http://schemas.openxmlformats.org/officeDocument/2006/relationships/hyperlink" Target="https://dalil.kg/document/112340#st_127" TargetMode="External"/><Relationship Id="rIdrb--exhicyuen8y3dbgom" Type="http://schemas.openxmlformats.org/officeDocument/2006/relationships/hyperlink" Target="https://dalil.kg/document/112340#st_129" TargetMode="External"/><Relationship Id="rIdhbdj3bslohani8bfdc1kr" Type="http://schemas.openxmlformats.org/officeDocument/2006/relationships/hyperlink" Target="https://dalil.kg/document/112340#st_1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s7b8w6sbql-jq2zpio-" Type="http://schemas.openxmlformats.org/officeDocument/2006/relationships/hyperlink" Target="https://dalil.kg/document/159030" TargetMode="External"/><Relationship Id="rIduhybl80qs7bardk04hr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2026-09-24T06:51:04.569Z</dcterms:created>
  <dcterms:modified xsi:type="dcterms:W3CDTF">2026-09-24T06:51:04.569Z</dcterms:modified>
</cp:coreProperties>
</file>

<file path=docProps/custom.xml><?xml version="1.0" encoding="utf-8"?>
<Properties xmlns="http://schemas.openxmlformats.org/officeDocument/2006/custom-properties" xmlns:vt="http://schemas.openxmlformats.org/officeDocument/2006/docPropsVTypes"/>
</file>