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w:t>
      </w:r>
      <w:r>
        <w:rPr>
          <w:rFonts w:ascii="Arial" w:cs="Arial" w:eastAsia="Arial" w:hAnsi="Arial"/>
          <w:sz w:val="24"/>
          <w:szCs w:val="24"/>
        </w:rPr>
        <w:t xml:space="preserve"> марта 2022 года № 1</w:t>
      </w: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Об утверждении Порядка создания, управления Публичным депозитарием финансовой отчетности и представления финансовой отчетности</w:t>
      </w:r>
    </w:p>
    <w:p>
      <w:pPr>
        <w:spacing w:after="120"/>
        <w:jc w:val="both"/>
      </w:pPr>
      <w:r>
        <w:rPr>
          <w:rFonts w:ascii="Arial" w:cs="Arial" w:eastAsia="Arial" w:hAnsi="Arial"/>
          <w:sz w:val="24"/>
          <w:szCs w:val="24"/>
        </w:rPr>
        <w:t xml:space="preserve">В целях реализации статьи 6-1 Закона Кыргызской Республики "О бухгалтерском учете", в соответствии со статьями </w:t>
      </w:r>
      <w:hyperlink w:history="1" r:id="rId3ue2bg9cuhvp2xo6n_9d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6lfw9hwtpogupvb73wo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4yrhh1i_rkdmyeec4fex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создания, управления Публичным депозитарием финансовой отчетности и представления финансовой отчетности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создания, управления Публичным депозитарием финансовой отчетности и представления финансовой отчетности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порядок создания и управления Публичным депозитарием финансовой отчетности (далее - ПДФО) и представления финансовой отчетности в соответствии со статьей 6-1 Закона Кыргызской Республики "О бухгалтерском учете".</w:t>
      </w:r>
    </w:p>
    <w:p>
      <w:pPr>
        <w:spacing w:after="60"/>
        <w:ind w:firstLine="567"/>
        <w:jc w:val="both"/>
      </w:pPr>
      <w:r>
        <w:rPr>
          <w:rFonts w:ascii="Arial" w:cs="Arial" w:eastAsia="Arial" w:hAnsi="Arial"/>
          <w:sz w:val="24"/>
          <w:szCs w:val="24"/>
        </w:rPr>
        <w:t xml:space="preserve">2. ПДФО - единая электронная система сбора, хранения, обобщения, анализа и опубликования финансовой отчетности и аудиторского заключения, представляющая собой составную часть реестра государственных информационных ресурсов.</w:t>
      </w:r>
    </w:p>
    <w:p>
      <w:pPr>
        <w:spacing w:after="200" w:before="200"/>
        <w:jc w:val="center"/>
      </w:pPr>
      <w:r>
        <w:rPr>
          <w:rFonts w:ascii="Arial" w:cs="Arial" w:eastAsia="Arial" w:hAnsi="Arial"/>
          <w:b/>
          <w:bCs/>
          <w:sz w:val="24"/>
          <w:szCs w:val="24"/>
        </w:rPr>
        <w:t xml:space="preserve">2. Создание и управление ПДФО</w:t>
      </w:r>
    </w:p>
    <w:p>
      <w:pPr>
        <w:spacing w:after="60"/>
        <w:ind w:firstLine="567"/>
        <w:jc w:val="both"/>
      </w:pPr>
      <w:r>
        <w:rPr>
          <w:rFonts w:ascii="Arial" w:cs="Arial" w:eastAsia="Arial" w:hAnsi="Arial"/>
          <w:sz w:val="24"/>
          <w:szCs w:val="24"/>
        </w:rPr>
        <w:t xml:space="preserve">3. В целях создания ПДФО уполномоченный государственный орган в сфере бухгалтерского учета (далее - уполномоченный орган) обеспечивает:</w:t>
      </w:r>
    </w:p>
    <w:p>
      <w:pPr>
        <w:spacing w:after="60"/>
        <w:ind w:firstLine="567"/>
        <w:jc w:val="both"/>
      </w:pPr>
      <w:r>
        <w:rPr>
          <w:rFonts w:ascii="Arial" w:cs="Arial" w:eastAsia="Arial" w:hAnsi="Arial"/>
          <w:sz w:val="24"/>
          <w:szCs w:val="24"/>
        </w:rPr>
        <w:t xml:space="preserve">1) разработку и установку программного обеспечения для сбора, хранения, обобщения, анализа и опубликования финансовой отчетности и аудиторского заключения (далее - ПО);</w:t>
      </w:r>
    </w:p>
    <w:p>
      <w:pPr>
        <w:spacing w:after="60"/>
        <w:ind w:firstLine="567"/>
        <w:jc w:val="both"/>
      </w:pPr>
      <w:r>
        <w:rPr>
          <w:rFonts w:ascii="Arial" w:cs="Arial" w:eastAsia="Arial" w:hAnsi="Arial"/>
          <w:sz w:val="24"/>
          <w:szCs w:val="24"/>
        </w:rPr>
        <w:t xml:space="preserve">2) взаимодействие ПО с информационными системами, сведения из которых передаются через информационный ресурс "Тундук".</w:t>
      </w:r>
    </w:p>
    <w:p>
      <w:pPr>
        <w:spacing w:after="60"/>
        <w:ind w:firstLine="567"/>
        <w:jc w:val="both"/>
      </w:pPr>
      <w:r>
        <w:rPr>
          <w:rFonts w:ascii="Arial" w:cs="Arial" w:eastAsia="Arial" w:hAnsi="Arial"/>
          <w:sz w:val="24"/>
          <w:szCs w:val="24"/>
        </w:rPr>
        <w:t xml:space="preserve">4. Для управления ПДФО уполномоченный орган обеспечивает:</w:t>
      </w:r>
    </w:p>
    <w:p>
      <w:pPr>
        <w:spacing w:after="60"/>
        <w:ind w:firstLine="567"/>
        <w:jc w:val="both"/>
      </w:pPr>
      <w:r>
        <w:rPr>
          <w:rFonts w:ascii="Arial" w:cs="Arial" w:eastAsia="Arial" w:hAnsi="Arial"/>
          <w:sz w:val="24"/>
          <w:szCs w:val="24"/>
        </w:rPr>
        <w:t xml:space="preserve">1) сбор, хранение и обобщение финансовых отчетов и аудиторских заключений;</w:t>
      </w:r>
    </w:p>
    <w:p>
      <w:pPr>
        <w:spacing w:after="60"/>
        <w:ind w:firstLine="567"/>
        <w:jc w:val="both"/>
      </w:pPr>
      <w:r>
        <w:rPr>
          <w:rFonts w:ascii="Arial" w:cs="Arial" w:eastAsia="Arial" w:hAnsi="Arial"/>
          <w:sz w:val="24"/>
          <w:szCs w:val="24"/>
        </w:rPr>
        <w:t xml:space="preserve">2) сохранность, безопасность данных и защиту сведений ПДФО с соблюдением требований, установленных законодательством Кыргызской Республики в сфере бухгалтерского учета и электронного управления;</w:t>
      </w:r>
    </w:p>
    <w:p>
      <w:pPr>
        <w:spacing w:after="60"/>
        <w:ind w:firstLine="567"/>
        <w:jc w:val="both"/>
      </w:pPr>
      <w:r>
        <w:rPr>
          <w:rFonts w:ascii="Arial" w:cs="Arial" w:eastAsia="Arial" w:hAnsi="Arial"/>
          <w:sz w:val="24"/>
          <w:szCs w:val="24"/>
        </w:rPr>
        <w:t xml:space="preserve">3) необходимые условия для представления субъектами в режиме онлайн финансовых отчетов и аудиторского заключения;</w:t>
      </w:r>
    </w:p>
    <w:p>
      <w:pPr>
        <w:spacing w:after="60"/>
        <w:ind w:firstLine="567"/>
        <w:jc w:val="both"/>
      </w:pPr>
      <w:r>
        <w:rPr>
          <w:rFonts w:ascii="Arial" w:cs="Arial" w:eastAsia="Arial" w:hAnsi="Arial"/>
          <w:sz w:val="24"/>
          <w:szCs w:val="24"/>
        </w:rPr>
        <w:t xml:space="preserve">4) проверку соблюдения полноты и сроков представления финансовых отчетов и аудиторских заключений;</w:t>
      </w:r>
    </w:p>
    <w:p>
      <w:pPr>
        <w:spacing w:after="60"/>
        <w:ind w:firstLine="567"/>
        <w:jc w:val="both"/>
      </w:pPr>
      <w:r>
        <w:rPr>
          <w:rFonts w:ascii="Arial" w:cs="Arial" w:eastAsia="Arial" w:hAnsi="Arial"/>
          <w:sz w:val="24"/>
          <w:szCs w:val="24"/>
        </w:rPr>
        <w:t xml:space="preserve">5) публикацию финансовых отчетов и аудиторских заключений через веб-портал ПДФО;</w:t>
      </w:r>
    </w:p>
    <w:p>
      <w:pPr>
        <w:spacing w:after="60"/>
        <w:ind w:firstLine="567"/>
        <w:jc w:val="both"/>
      </w:pPr>
      <w:r>
        <w:rPr>
          <w:rFonts w:ascii="Arial" w:cs="Arial" w:eastAsia="Arial" w:hAnsi="Arial"/>
          <w:sz w:val="24"/>
          <w:szCs w:val="24"/>
        </w:rPr>
        <w:t xml:space="preserve">6) круглосуточное функционирование ПДФО и автоматизированную обработку информации, вносимую в ПДФО;</w:t>
      </w:r>
    </w:p>
    <w:p>
      <w:pPr>
        <w:spacing w:after="60"/>
        <w:ind w:firstLine="567"/>
        <w:jc w:val="both"/>
      </w:pPr>
      <w:r>
        <w:rPr>
          <w:rFonts w:ascii="Arial" w:cs="Arial" w:eastAsia="Arial" w:hAnsi="Arial"/>
          <w:sz w:val="24"/>
          <w:szCs w:val="24"/>
        </w:rPr>
        <w:t xml:space="preserve">7) быстрый и свободный доступ любого заинтересованного лица к опубликованным в ПДФО финансовой отчетности и аудиторским заключениям, за исключением сведений, доступ к которым ограничен в соответствии с законодательством Кыргызской Республики в сфере электронного управления;</w:t>
      </w:r>
    </w:p>
    <w:p>
      <w:pPr>
        <w:spacing w:after="60"/>
        <w:ind w:firstLine="567"/>
        <w:jc w:val="both"/>
      </w:pPr>
      <w:r>
        <w:rPr>
          <w:rFonts w:ascii="Arial" w:cs="Arial" w:eastAsia="Arial" w:hAnsi="Arial"/>
          <w:sz w:val="24"/>
          <w:szCs w:val="24"/>
        </w:rPr>
        <w:t xml:space="preserve">8) периодическое копирование данных ПДФО на резервный носитель уполномоченного органа, позволяющее осуществить их восстановление с резервного носителя;</w:t>
      </w:r>
    </w:p>
    <w:p>
      <w:pPr>
        <w:spacing w:after="60"/>
        <w:ind w:firstLine="567"/>
        <w:jc w:val="both"/>
      </w:pPr>
      <w:r>
        <w:rPr>
          <w:rFonts w:ascii="Arial" w:cs="Arial" w:eastAsia="Arial" w:hAnsi="Arial"/>
          <w:sz w:val="24"/>
          <w:szCs w:val="24"/>
        </w:rPr>
        <w:t xml:space="preserve">9) информационную поддержку всех заинтересованных лиц по вопросам, возникающим в связи с работой ПДФО по электронной почте, посредством размещения информации о часто возникающих вопросах и ответах на них в открытом доступе на веб-портале ПДФО.</w:t>
      </w:r>
    </w:p>
    <w:p>
      <w:pPr>
        <w:spacing w:after="60"/>
        <w:ind w:firstLine="567"/>
        <w:jc w:val="both"/>
      </w:pPr>
      <w:r>
        <w:rPr>
          <w:rFonts w:ascii="Arial" w:cs="Arial" w:eastAsia="Arial" w:hAnsi="Arial"/>
          <w:sz w:val="24"/>
          <w:szCs w:val="24"/>
        </w:rPr>
        <w:t xml:space="preserve">5. При создании и управлении ПДФО применяются следующие основные принципы: легитимность, аутентификация данных, идентификация, принцип значимости данных, принцип системного аудита, независимость от программной платформы, доступность и целостность, конфиденциальность, принцип совместимости, удобство использования, расширяемость, принцип прогрессивного развития, последовательность, принцип операционной эффективности, принцип использования открытых стандартов, принцип информационной безопасности.</w:t>
      </w:r>
    </w:p>
    <w:p>
      <w:pPr>
        <w:spacing w:after="60"/>
        <w:ind w:firstLine="567"/>
        <w:jc w:val="both"/>
      </w:pPr>
      <w:r>
        <w:rPr>
          <w:rFonts w:ascii="Arial" w:cs="Arial" w:eastAsia="Arial" w:hAnsi="Arial"/>
          <w:sz w:val="24"/>
          <w:szCs w:val="24"/>
        </w:rPr>
        <w:t xml:space="preserve">6. Физические и юридические лица вправе получить информацию о финансовой отчетности, консолидированной финансовой отчетности, составленных субъектами публичного интереса, субъектами крупного предпринимательства, и аудиторском заключении после регистрации на веб-портале ПДФО. При регистрации вносятся следующие данные: фамилия, имя, отчество, идентификационный номер налогоплательщика (ИНН), адрес электронной почты и указывается цель получения информации.</w:t>
      </w:r>
    </w:p>
    <w:p>
      <w:pPr>
        <w:spacing w:after="60"/>
        <w:ind w:firstLine="567"/>
        <w:jc w:val="both"/>
      </w:pPr>
      <w:r>
        <w:rPr>
          <w:rFonts w:ascii="Arial" w:cs="Arial" w:eastAsia="Arial" w:hAnsi="Arial"/>
          <w:sz w:val="24"/>
          <w:szCs w:val="24"/>
        </w:rPr>
        <w:t xml:space="preserve">7. Финансовая отчетность, консолидированная финансовая отчетность, составленные в соответствии с Международными стандартами финансовой отчетности (далее - МСФО), для субъектов малого и среднего предпринимательства (далее - МСФО для МСП) и аудиторские заключения хранятся в ПДФО и находятся в открытом доступе в течение 5 (пяти) лет.</w:t>
      </w:r>
    </w:p>
    <w:p>
      <w:pPr>
        <w:spacing w:after="200" w:before="200"/>
        <w:jc w:val="center"/>
      </w:pPr>
      <w:r>
        <w:rPr>
          <w:rFonts w:ascii="Arial" w:cs="Arial" w:eastAsia="Arial" w:hAnsi="Arial"/>
          <w:b/>
          <w:bCs/>
          <w:sz w:val="24"/>
          <w:szCs w:val="24"/>
        </w:rPr>
        <w:t xml:space="preserve">3. Порядок предоставления финансовой отчетности в ПДФО</w:t>
      </w:r>
    </w:p>
    <w:p>
      <w:pPr>
        <w:spacing w:after="60"/>
        <w:ind w:firstLine="567"/>
        <w:jc w:val="both"/>
      </w:pPr>
      <w:r>
        <w:rPr>
          <w:rFonts w:ascii="Arial" w:cs="Arial" w:eastAsia="Arial" w:hAnsi="Arial"/>
          <w:sz w:val="24"/>
          <w:szCs w:val="24"/>
        </w:rPr>
        <w:t xml:space="preserve">8. Субъекты публичного интереса, субъекты крупного предпринимательства и субъекты среднего предпринимательства обязаны предоставлять в ПДФО финансовую отчетность и консолидированную финансовую отчетность, составленные в соответствии с МСФО, МСФО для МСП, в срок до 1 июня года, следующего за отчетным годом.</w:t>
      </w:r>
    </w:p>
    <w:p>
      <w:pPr>
        <w:spacing w:after="60"/>
        <w:ind w:firstLine="567"/>
        <w:jc w:val="both"/>
      </w:pPr>
      <w:r>
        <w:rPr>
          <w:rFonts w:ascii="Arial" w:cs="Arial" w:eastAsia="Arial" w:hAnsi="Arial"/>
          <w:sz w:val="24"/>
          <w:szCs w:val="24"/>
        </w:rPr>
        <w:t xml:space="preserve">9. Ответственность за представление финансовой отчетности, консолидированной финансовой отчетности, составленных в соответствии с МСФО, МСФО для МСП, и аудиторского заключения несет руководитель субъекта в порядке, установленном законодательством Кыргызской Республики в сфере бухгалтерского учета.</w:t>
      </w:r>
    </w:p>
    <w:p>
      <w:pPr>
        <w:spacing w:after="60"/>
        <w:ind w:firstLine="567"/>
        <w:jc w:val="both"/>
      </w:pPr>
      <w:r>
        <w:rPr>
          <w:rFonts w:ascii="Arial" w:cs="Arial" w:eastAsia="Arial" w:hAnsi="Arial"/>
          <w:sz w:val="24"/>
          <w:szCs w:val="24"/>
        </w:rPr>
        <w:t xml:space="preserve">10. Субъекты публичного интереса, субъекты крупного предпринимательства, для которых аудит является обязательным в соответствии с законодательством Кыргызской Республики в области аудита, представляют также аудиторское заключение в порядке, установленном пунктом 16 настоящего Порядка. Субъекты публичного интереса, субъекты крупного предпринимательства, составляющие консолидированную финансовую отчетность в соответствии с МСФО, представляют аудиторское заключение к консолидированной финансовой отчетности.</w:t>
      </w:r>
    </w:p>
    <w:p>
      <w:pPr>
        <w:spacing w:after="60"/>
        <w:ind w:firstLine="567"/>
        <w:jc w:val="both"/>
      </w:pPr>
      <w:r>
        <w:rPr>
          <w:rFonts w:ascii="Arial" w:cs="Arial" w:eastAsia="Arial" w:hAnsi="Arial"/>
          <w:sz w:val="24"/>
          <w:szCs w:val="24"/>
        </w:rPr>
        <w:t xml:space="preserve">11. Финансовая отчетность, консолидированная финансовая отчетность, составленные в соответствии с МСФО, МСФО для МСП, и аудиторское заключение представляются субъектами посредством ПО, через личный кабинет субъекта с подтверждением электронной цифровой подписью субъекта (далее - ЭЦП).</w:t>
      </w:r>
    </w:p>
    <w:p>
      <w:pPr>
        <w:spacing w:after="60"/>
        <w:ind w:firstLine="567"/>
        <w:jc w:val="both"/>
      </w:pPr>
      <w:r>
        <w:rPr>
          <w:rFonts w:ascii="Arial" w:cs="Arial" w:eastAsia="Arial" w:hAnsi="Arial"/>
          <w:sz w:val="24"/>
          <w:szCs w:val="24"/>
        </w:rPr>
        <w:t xml:space="preserve">12. Для подтверждения представления финансовой отчетности, консолидированной финансовой отчетности, составленных в соответствии с МСФО, МСФО для МСП, и аудиторского заключения используются квалифицированные сертификаты ключей проверки электронной цифровой подписи в соответствии с законодательством Кыргызской Республики в сфере электронной подписи.</w:t>
      </w:r>
    </w:p>
    <w:p>
      <w:pPr>
        <w:spacing w:after="60"/>
        <w:ind w:firstLine="567"/>
        <w:jc w:val="both"/>
      </w:pPr>
      <w:r>
        <w:rPr>
          <w:rFonts w:ascii="Arial" w:cs="Arial" w:eastAsia="Arial" w:hAnsi="Arial"/>
          <w:sz w:val="24"/>
          <w:szCs w:val="24"/>
        </w:rPr>
        <w:t xml:space="preserve">13. Представление финансовой отчетности, консолидированной финансовой отчетности, составленных в соответствии с МСФО, МСФО для МСП, и аудиторского заключения осуществляется при обязательном применении сертифицированных средств криптографической защиты информации.</w:t>
      </w:r>
    </w:p>
    <w:p>
      <w:pPr>
        <w:spacing w:after="60"/>
        <w:ind w:firstLine="567"/>
        <w:jc w:val="both"/>
      </w:pPr>
      <w:r>
        <w:rPr>
          <w:rFonts w:ascii="Arial" w:cs="Arial" w:eastAsia="Arial" w:hAnsi="Arial"/>
          <w:sz w:val="24"/>
          <w:szCs w:val="24"/>
        </w:rPr>
        <w:t xml:space="preserve">14. Для создания личного кабинета субъектами вносятся общие сведения в соответствии с </w:t>
      </w:r>
      <w:hyperlink w:history="1" r:id="rIdcl4tf6ncm9o4tdszxttfm">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Порядку. Информация в общих сведениях по мере необходимости периодически обновляется.</w:t>
      </w:r>
    </w:p>
    <w:p>
      <w:pPr>
        <w:spacing w:after="60"/>
        <w:ind w:firstLine="567"/>
        <w:jc w:val="both"/>
      </w:pPr>
      <w:r>
        <w:rPr>
          <w:rFonts w:ascii="Arial" w:cs="Arial" w:eastAsia="Arial" w:hAnsi="Arial"/>
          <w:sz w:val="24"/>
          <w:szCs w:val="24"/>
        </w:rPr>
        <w:t xml:space="preserve">15. Финансовая отчетность, консолидированная финансовая отчетность, составленные в соответствии с МСФО, МСФО для МСП, примечания к финансовой отчетности и аудиторское заключение представляются в ПДФО в следующих форматах:</w:t>
      </w:r>
    </w:p>
    <w:p>
      <w:pPr>
        <w:spacing w:after="60"/>
        <w:ind w:firstLine="567"/>
        <w:jc w:val="both"/>
      </w:pPr>
      <w:r>
        <w:rPr>
          <w:rFonts w:ascii="Arial" w:cs="Arial" w:eastAsia="Arial" w:hAnsi="Arial"/>
          <w:sz w:val="24"/>
          <w:szCs w:val="24"/>
        </w:rPr>
        <w:t xml:space="preserve">1) документы, содержащие текст и изображения: Adobe Acrobat (pdf);</w:t>
      </w:r>
    </w:p>
    <w:p>
      <w:pPr>
        <w:spacing w:after="60"/>
        <w:ind w:firstLine="567"/>
        <w:jc w:val="both"/>
      </w:pPr>
      <w:r>
        <w:rPr>
          <w:rFonts w:ascii="Arial" w:cs="Arial" w:eastAsia="Arial" w:hAnsi="Arial"/>
          <w:sz w:val="24"/>
          <w:szCs w:val="24"/>
        </w:rPr>
        <w:t xml:space="preserve">2) документы, содержащие графические изображения: TIFF, JPEG (tif, jpg), разрешением не менее 150dpi;</w:t>
      </w:r>
    </w:p>
    <w:p>
      <w:pPr>
        <w:spacing w:after="60"/>
        <w:ind w:firstLine="567"/>
        <w:jc w:val="both"/>
      </w:pPr>
      <w:r>
        <w:rPr>
          <w:rFonts w:ascii="Arial" w:cs="Arial" w:eastAsia="Arial" w:hAnsi="Arial"/>
          <w:sz w:val="24"/>
          <w:szCs w:val="24"/>
        </w:rPr>
        <w:t xml:space="preserve">3) документы, содержащие архивы: ZIP, RAR.</w:t>
      </w:r>
    </w:p>
    <w:p>
      <w:pPr>
        <w:spacing w:after="60"/>
        <w:ind w:firstLine="567"/>
        <w:jc w:val="both"/>
      </w:pPr>
      <w:r>
        <w:rPr>
          <w:rFonts w:ascii="Arial" w:cs="Arial" w:eastAsia="Arial" w:hAnsi="Arial"/>
          <w:sz w:val="24"/>
          <w:szCs w:val="24"/>
        </w:rPr>
        <w:t xml:space="preserve">16. Данные финансовой отчетности, консолидированной финансовой отчетности, за исключением примечаний к финансовой отчетности и аудиторского заключения, также представляются в электронном шаблоне, встроенном в ПО.</w:t>
      </w:r>
    </w:p>
    <w:p>
      <w:pPr>
        <w:spacing w:after="60"/>
        <w:ind w:firstLine="567"/>
        <w:jc w:val="both"/>
      </w:pPr>
      <w:r>
        <w:rPr>
          <w:rFonts w:ascii="Arial" w:cs="Arial" w:eastAsia="Arial" w:hAnsi="Arial"/>
          <w:sz w:val="24"/>
          <w:szCs w:val="24"/>
        </w:rPr>
        <w:t xml:space="preserve">17. В дополнение к финансовой отчетности и аудиторскому заключению в ПО вводятся сведения о показателях деятельности субъектов в соответствии с разделами 2, 3 и 4 приложения об общих сведениях к настоящему Порядку.</w:t>
      </w:r>
    </w:p>
    <w:p>
      <w:pPr>
        <w:spacing w:after="60"/>
        <w:ind w:firstLine="567"/>
        <w:jc w:val="both"/>
      </w:pPr>
      <w:r>
        <w:rPr>
          <w:rFonts w:ascii="Arial" w:cs="Arial" w:eastAsia="Arial" w:hAnsi="Arial"/>
          <w:sz w:val="24"/>
          <w:szCs w:val="24"/>
        </w:rPr>
        <w:t xml:space="preserve">18. Данные и сведения, введенные субъектом в ПО в электронном шаблоне, автоматически проходят процедуру правильности заполнения форм.</w:t>
      </w:r>
    </w:p>
    <w:p>
      <w:pPr>
        <w:spacing w:after="60"/>
        <w:ind w:firstLine="567"/>
        <w:jc w:val="both"/>
      </w:pPr>
      <w:r>
        <w:rPr>
          <w:rFonts w:ascii="Arial" w:cs="Arial" w:eastAsia="Arial" w:hAnsi="Arial"/>
          <w:sz w:val="24"/>
          <w:szCs w:val="24"/>
        </w:rPr>
        <w:t xml:space="preserve">19. ПО имеет логический механизм верификации полей в электронном шаблоне, где это применимо, и в случае обнаружения ошибок в полях не будет сохранять данные и выделит поля, содержащие ошибки.</w:t>
      </w:r>
    </w:p>
    <w:p>
      <w:pPr>
        <w:spacing w:after="60"/>
        <w:ind w:firstLine="567"/>
        <w:jc w:val="both"/>
      </w:pPr>
      <w:r>
        <w:rPr>
          <w:rFonts w:ascii="Arial" w:cs="Arial" w:eastAsia="Arial" w:hAnsi="Arial"/>
          <w:sz w:val="24"/>
          <w:szCs w:val="24"/>
        </w:rPr>
        <w:t xml:space="preserve">20. Данные и сведения, предоставленные субъектами, не подлежат изменению и корректировке уполномоченным органом.</w:t>
      </w:r>
    </w:p>
    <w:p>
      <w:pPr>
        <w:spacing w:after="60"/>
        <w:ind w:firstLine="567"/>
        <w:jc w:val="both"/>
      </w:pPr>
      <w:r>
        <w:rPr>
          <w:rFonts w:ascii="Arial" w:cs="Arial" w:eastAsia="Arial" w:hAnsi="Arial"/>
          <w:sz w:val="24"/>
          <w:szCs w:val="24"/>
        </w:rPr>
        <w:t xml:space="preserve">21. Финансовая отчетность и аудиторское заключение размещаются на веб-портале ПДФО и публикуются не позднее 1 июня года, следующего за отчетным годом.</w:t>
      </w:r>
    </w:p>
    <w:p>
      <w:pPr>
        <w:spacing w:after="60"/>
        <w:ind w:firstLine="567"/>
        <w:jc w:val="both"/>
      </w:pPr>
      <w:r>
        <w:rPr>
          <w:rFonts w:ascii="Arial" w:cs="Arial" w:eastAsia="Arial" w:hAnsi="Arial"/>
          <w:sz w:val="24"/>
          <w:szCs w:val="24"/>
        </w:rPr>
        <w:t xml:space="preserve">22. Вновь созданные организации представляют годовую финансовую отчетность за период, начиная с момента государственной регистрации юридического лица по 31 декабря того же года.</w:t>
      </w:r>
    </w:p>
    <w:p>
      <w:pPr>
        <w:spacing w:after="200" w:before="200"/>
        <w:jc w:val="center"/>
      </w:pPr>
      <w:r>
        <w:rPr>
          <w:rFonts w:ascii="Arial" w:cs="Arial" w:eastAsia="Arial" w:hAnsi="Arial"/>
          <w:b/>
          <w:bCs/>
          <w:sz w:val="24"/>
          <w:szCs w:val="24"/>
        </w:rPr>
        <w:t xml:space="preserve">4. Обеспечение информационной безопасности ПДФО</w:t>
      </w:r>
    </w:p>
    <w:p>
      <w:pPr>
        <w:spacing w:after="60"/>
        <w:ind w:firstLine="567"/>
        <w:jc w:val="both"/>
      </w:pPr>
      <w:r>
        <w:rPr>
          <w:rFonts w:ascii="Arial" w:cs="Arial" w:eastAsia="Arial" w:hAnsi="Arial"/>
          <w:sz w:val="24"/>
          <w:szCs w:val="24"/>
        </w:rPr>
        <w:t xml:space="preserve">23. Уполномоченный орган для обеспечения информационной безопасности ПДФО несет ответственность за:</w:t>
      </w:r>
    </w:p>
    <w:p>
      <w:pPr>
        <w:spacing w:after="60"/>
        <w:ind w:firstLine="567"/>
        <w:jc w:val="both"/>
      </w:pPr>
      <w:r>
        <w:rPr>
          <w:rFonts w:ascii="Arial" w:cs="Arial" w:eastAsia="Arial" w:hAnsi="Arial"/>
          <w:sz w:val="24"/>
          <w:szCs w:val="24"/>
        </w:rPr>
        <w:t xml:space="preserve">1) обеспечение режима конфиденциальности полученных непубликуемых данных и сведений в случаях, предусмотренных законодательством Кыргызской Республики в сфере информационной безопасности;</w:t>
      </w:r>
    </w:p>
    <w:p>
      <w:pPr>
        <w:spacing w:after="60"/>
        <w:ind w:firstLine="567"/>
        <w:jc w:val="both"/>
      </w:pPr>
      <w:r>
        <w:rPr>
          <w:rFonts w:ascii="Arial" w:cs="Arial" w:eastAsia="Arial" w:hAnsi="Arial"/>
          <w:sz w:val="24"/>
          <w:szCs w:val="24"/>
        </w:rPr>
        <w:t xml:space="preserve">2) сохранность и достоверность данных и сведений, а также в установленном порядке режим доступа к ним;</w:t>
      </w:r>
    </w:p>
    <w:p>
      <w:pPr>
        <w:spacing w:after="60"/>
        <w:ind w:firstLine="567"/>
        <w:jc w:val="both"/>
      </w:pPr>
      <w:r>
        <w:rPr>
          <w:rFonts w:ascii="Arial" w:cs="Arial" w:eastAsia="Arial" w:hAnsi="Arial"/>
          <w:sz w:val="24"/>
          <w:szCs w:val="24"/>
        </w:rPr>
        <w:t xml:space="preserve">3) осуществление действий по блокированию и снятию с блокирования данных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24. Уполномоченный орган обеспечивает:</w:t>
      </w:r>
    </w:p>
    <w:p>
      <w:pPr>
        <w:spacing w:after="60"/>
        <w:ind w:firstLine="567"/>
        <w:jc w:val="both"/>
      </w:pPr>
      <w:r>
        <w:rPr>
          <w:rFonts w:ascii="Arial" w:cs="Arial" w:eastAsia="Arial" w:hAnsi="Arial"/>
          <w:sz w:val="24"/>
          <w:szCs w:val="24"/>
        </w:rPr>
        <w:t xml:space="preserve">1) сохранность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60"/>
        <w:ind w:firstLine="567"/>
        <w:jc w:val="both"/>
      </w:pPr>
      <w:r>
        <w:rPr>
          <w:rFonts w:ascii="Arial" w:cs="Arial" w:eastAsia="Arial" w:hAnsi="Arial"/>
          <w:sz w:val="24"/>
          <w:szCs w:val="24"/>
        </w:rPr>
        <w:t xml:space="preserve">2) исключение доступа посторонних лиц к оборудованию, используемому для обработки данных (контроль за доступом).</w:t>
      </w:r>
    </w:p>
    <w:p>
      <w:pPr>
        <w:spacing w:after="60"/>
        <w:ind w:firstLine="567"/>
        <w:jc w:val="both"/>
      </w:pPr>
      <w:r>
        <w:rPr>
          <w:rFonts w:ascii="Arial" w:cs="Arial" w:eastAsia="Arial" w:hAnsi="Arial"/>
          <w:sz w:val="24"/>
          <w:szCs w:val="24"/>
        </w:rPr>
        <w:t xml:space="preserve">25. Уполномоченный орган обязан препятствовать:</w:t>
      </w:r>
    </w:p>
    <w:p>
      <w:pPr>
        <w:spacing w:after="60"/>
        <w:ind w:firstLine="567"/>
        <w:jc w:val="both"/>
      </w:pPr>
      <w:r>
        <w:rPr>
          <w:rFonts w:ascii="Arial" w:cs="Arial" w:eastAsia="Arial" w:hAnsi="Arial"/>
          <w:sz w:val="24"/>
          <w:szCs w:val="24"/>
        </w:rPr>
        <w:t xml:space="preserve">1) самовольному чтению, копированию, изменению или выносу носителей данных и сведений (контроль за пользованием носителями данных и сведений);</w:t>
      </w:r>
    </w:p>
    <w:p>
      <w:pPr>
        <w:spacing w:after="60"/>
        <w:ind w:firstLine="567"/>
        <w:jc w:val="both"/>
      </w:pPr>
      <w:r>
        <w:rPr>
          <w:rFonts w:ascii="Arial" w:cs="Arial" w:eastAsia="Arial" w:hAnsi="Arial"/>
          <w:sz w:val="24"/>
          <w:szCs w:val="24"/>
        </w:rPr>
        <w:t xml:space="preserve">2) самовольной записи данных и изменению или уничтожению записанных данных (контроль за записью) и обеспечивать возможность установления когда, кем и какие персональные данные были изменены.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w:t>
      </w:r>
    </w:p>
    <w:p>
      <w:pPr>
        <w:spacing w:after="400" w:before="400"/>
        <w:jc w:val="center"/>
      </w:pPr>
      <w:r>
        <w:rPr>
          <w:rFonts w:ascii="Arial" w:cs="Arial" w:eastAsia="Arial" w:hAnsi="Arial"/>
          <w:b/>
          <w:bCs/>
          <w:sz w:val="32"/>
          <w:szCs w:val="32"/>
        </w:rPr>
        <w:t xml:space="preserve">ОБЩИЕ СВЕДЕНИЯ
 о субъектах публичного интереса, крупного и среднего предпринимательства</w:t>
      </w:r>
    </w:p>
    <w:p>
      <w:pPr>
        <w:spacing w:after="200" w:before="200"/>
        <w:jc w:val="center"/>
      </w:pPr>
      <w:r>
        <w:rPr>
          <w:rFonts w:ascii="Arial" w:cs="Arial" w:eastAsia="Arial" w:hAnsi="Arial"/>
          <w:b/>
          <w:bCs/>
          <w:sz w:val="32"/>
          <w:szCs w:val="32"/>
        </w:rPr>
        <w:t xml:space="preserve">Раздел 1. Для субъектов публичного интереса, субъектов крупного и среднего предпринимательства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624"/>
        <w:gridCol w:w="7200"/>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строки</w:t>
            </w:r>
          </w:p>
        </w:tc>
        <w:tc>
          <w:tcPr>
            <w:tcW w:type="dxa" w:w="7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субъектах публичного интереса, субъектах крупного и среднего предпринимательства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свидетельства государственной регистрации</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(учетной) регистрации (перерегистрации)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субъекта</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организации (почтовый индекс, область, район, населенный пункт, наименование улицы, номер дома, квартиры, телефона, факса, веб-сайт, e-mail)</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(высшее должностное лицо)</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и индивидуальный идентификационный номер (ИНН) первого руководителя (высшего должностного лица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и ИНН главного бухгалтера организации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Аудиторская компания</w:t>
            </w:r>
          </w:p>
        </w:tc>
        <w:tc>
          <w:tcPr>
            <w:tcW w:type="dxa" w:w="7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организационно-правовая форма, местонахождение, почтовый адрес, телефон, факс, адрес электронной почты, код ОКПО</w:t>
            </w:r>
          </w:p>
        </w:tc>
      </w:tr>
    </w:tbl>
    <w:p>
      <w:pPr>
        <w:spacing w:after="200" w:before="200"/>
        <w:jc w:val="center"/>
      </w:pPr>
      <w:r>
        <w:rPr>
          <w:rFonts w:ascii="Arial" w:cs="Arial" w:eastAsia="Arial" w:hAnsi="Arial"/>
          <w:b/>
          <w:bCs/>
          <w:sz w:val="32"/>
          <w:szCs w:val="32"/>
        </w:rPr>
        <w:t xml:space="preserve">Раздел 2. Основные показатели финансовой отчетности для предоставления в ПДФО</w:t>
      </w:r>
    </w:p>
    <w:p>
      <w:pPr>
        <w:spacing w:after="120" w:before="200"/>
        <w:ind w:firstLine="567"/>
        <w:jc w:val="both"/>
      </w:pPr>
      <w:r>
        <w:rPr>
          <w:rFonts w:ascii="Arial" w:cs="Arial" w:eastAsia="Arial" w:hAnsi="Arial"/>
          <w:b/>
          <w:bCs/>
          <w:sz w:val="24"/>
          <w:szCs w:val="24"/>
        </w:rPr>
        <w:t xml:space="preserve">1) сведения, включаемые в отчет о финансовом положении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5313"/>
        <w:gridCol w:w="2241"/>
        <w:gridCol w:w="2095"/>
      </w:tblGrid>
      <w:tr>
        <w:tc>
          <w:tcPr>
            <w:tcW w:type="dxa" w:w="5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(060+070+090)</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2) сведения, включаемые в отчет о прибыли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394"/>
        <w:gridCol w:w="2203"/>
        <w:gridCol w:w="2117"/>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5368"/>
        <w:gridCol w:w="2241"/>
        <w:gridCol w:w="2095"/>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"___" _______________ 20__ г.</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"___" _______________ 20__ г.</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3. Данные для субъектов публичного интереса (далее - СПИ), в дополнение к разделу 1</w:t>
      </w:r>
    </w:p>
    <w:p>
      <w:pPr>
        <w:spacing w:after="60"/>
        <w:ind w:firstLine="567"/>
        <w:jc w:val="both"/>
      </w:pPr>
      <w:r>
        <w:rPr>
          <w:rFonts w:ascii="Arial" w:cs="Arial" w:eastAsia="Arial" w:hAnsi="Arial"/>
          <w:sz w:val="24"/>
          <w:szCs w:val="24"/>
        </w:rPr>
        <w:t xml:space="preserve">1. ____________________________________________________________________________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СПИ)</w:t>
      </w:r>
    </w:p>
    <w:p>
      <w:pPr>
        <w:spacing w:after="120"/>
        <w:ind w:firstLine="567"/>
        <w:jc w:val="both"/>
      </w:pPr>
      <w:r>
        <w:rPr>
          <w:rFonts w:ascii="Arial" w:cs="Arial" w:eastAsia="Arial" w:hAnsi="Arial"/>
          <w:sz w:val="24"/>
          <w:szCs w:val="24"/>
        </w:rPr>
        <w:t xml:space="preserve">2. Список всех членов исполнительного органа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92"/>
        <w:gridCol w:w="892"/>
        <w:gridCol w:w="1181"/>
        <w:gridCol w:w="747"/>
        <w:gridCol w:w="926"/>
        <w:gridCol w:w="1018"/>
        <w:gridCol w:w="883"/>
        <w:gridCol w:w="1050"/>
        <w:gridCol w:w="1295"/>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 за последние 5 лет</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3. Список всех членов совета директоров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5"/>
        <w:gridCol w:w="886"/>
        <w:gridCol w:w="886"/>
        <w:gridCol w:w="1173"/>
        <w:gridCol w:w="825"/>
        <w:gridCol w:w="916"/>
        <w:gridCol w:w="1008"/>
        <w:gridCol w:w="875"/>
        <w:gridCol w:w="1040"/>
        <w:gridCol w:w="1285"/>
      </w:tblGrid>
      <w:tr>
        <w:tc>
          <w:tcPr>
            <w:tcW w:type="dxa" w:w="1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 за последние 5 лет (%)</w:t>
            </w:r>
          </w:p>
        </w:tc>
        <w:tc>
          <w:tcPr>
            <w:tcW w:type="dxa" w:w="9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92"/>
        <w:gridCol w:w="892"/>
        <w:gridCol w:w="1183"/>
        <w:gridCol w:w="747"/>
        <w:gridCol w:w="924"/>
        <w:gridCol w:w="1018"/>
        <w:gridCol w:w="883"/>
        <w:gridCol w:w="1050"/>
        <w:gridCol w:w="1295"/>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 настоящее время</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СПИ (%)</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СПИ</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5.Сведения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Сведения о привлечении руководящих лиц к ответственности за совершение нарушения, проступка и к уголовной ответственности.</w:t>
      </w:r>
    </w:p>
    <w:p>
      <w:pPr>
        <w:spacing w:after="120"/>
        <w:ind w:firstLine="567"/>
        <w:jc w:val="both"/>
      </w:pPr>
      <w:r>
        <w:rPr>
          <w:rFonts w:ascii="Arial" w:cs="Arial" w:eastAsia="Arial" w:hAnsi="Arial"/>
          <w:sz w:val="24"/>
          <w:szCs w:val="24"/>
        </w:rPr>
        <w:t xml:space="preserve">Сведения о привлечении руководящих лиц к уголовной ответственности за экономические преступления, проступки и 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4"/>
        <w:gridCol w:w="2921"/>
        <w:gridCol w:w="3943"/>
      </w:tblGrid>
      <w:tr>
        <w:tc>
          <w:tcPr>
            <w:tcW w:type="dxa" w:w="33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29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привлечения</w:t>
            </w:r>
          </w:p>
        </w:tc>
        <w:tc>
          <w:tcPr>
            <w:tcW w:type="dxa" w:w="39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Статья, краткое описание</w:t>
            </w:r>
          </w:p>
        </w:tc>
      </w:tr>
      <w:tr>
        <w:tc>
          <w:tcPr>
            <w:tcW w:type="dxa" w:w="3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Количество владельцев долей/ценных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6"/>
        <w:gridCol w:w="1702"/>
      </w:tblGrid>
      <w:tr>
        <w:tc>
          <w:tcPr>
            <w:tcW w:type="dxa" w:w="8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долей/ценных бумаг по состоянию на конец отчетного года</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СПИ на конец отчетного периода</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Список иностранных владельцев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1378"/>
        <w:gridCol w:w="745"/>
        <w:gridCol w:w="1718"/>
        <w:gridCol w:w="1938"/>
        <w:gridCol w:w="1372"/>
        <w:gridCol w:w="1020"/>
      </w:tblGrid>
      <w:tr>
        <w:tc>
          <w:tcPr>
            <w:tcW w:type="dxa" w:w="2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иностранных инвесторов с указанием приобретенных видов ценных бумаг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резидентом которой является инвестор</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Доля/количество принадлежащих ценных бумаг СПИ</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фактически оплаченная за приобретенные доли/ценные бумаги, СПИ</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доли/ценных бумаг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w:t>
            </w:r>
          </w:p>
        </w:tc>
      </w:tr>
      <w:tr>
        <w:tc>
          <w:tcPr>
            <w:tcW w:type="dxa" w:w="2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всех владельцев долей/ценных бумаг СПИ, которые владеют не менее 5 процентами от общего количества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5"/>
        <w:gridCol w:w="1500"/>
        <w:gridCol w:w="1614"/>
        <w:gridCol w:w="1578"/>
        <w:gridCol w:w="1079"/>
        <w:gridCol w:w="983"/>
        <w:gridCol w:w="1195"/>
        <w:gridCol w:w="1264"/>
      </w:tblGrid>
      <w:tr>
        <w:tc>
          <w:tcPr>
            <w:tcW w:type="dxa" w:w="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СПИ, государственный регистрационный номер выпуска ценных бумаг</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долей/ценных бумаг юридического лица или ФИО владельцев долей/ценных бумаг физического лица, от которого отчуждаются доли/ценные бумаги</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юридического лица или ФИО владельцев ценных бумаг физического лица, которое приобретает (принимает) ценные бумаги</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 сводный приказ на депонирование;
 - сделка на бирже;
 - сводное передаточное распоряжение и др.</w:t>
            </w:r>
          </w:p>
        </w:tc>
      </w:tr>
      <w:tr>
        <w:tc>
          <w:tcPr>
            <w:tcW w:type="dxa" w:w="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Список аффилированных лиц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0"/>
        <w:gridCol w:w="6058"/>
      </w:tblGrid>
      <w:tr>
        <w:tc>
          <w:tcPr>
            <w:tcW w:type="dxa" w:w="4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 Список юридических лиц, в которых данный регулируемый субъект финансового рынка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6"/>
        <w:gridCol w:w="4617"/>
        <w:gridCol w:w="2266"/>
      </w:tblGrid>
      <w:tr>
        <w:tc>
          <w:tcPr>
            <w:tcW w:type="dxa" w:w="32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6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tcW w:type="dxa" w:w="3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Список филиалов и представительств СПИ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4094"/>
        <w:gridCol w:w="3654"/>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4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6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Сведения о реорганизации СПИ,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1"/>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принятия решения о реорганизации СПИ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реорганизации СПИ</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принявший решение о реорганизации СПИ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Информация об объектах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5"/>
        <w:gridCol w:w="2741"/>
        <w:gridCol w:w="2078"/>
        <w:gridCol w:w="1134"/>
        <w:gridCol w:w="3020"/>
      </w:tblGrid>
      <w:tr>
        <w:tc>
          <w:tcPr>
            <w:tcW w:type="dxa" w:w="12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Основное предназначение</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w:t>
            </w:r>
          </w:p>
        </w:tc>
        <w:tc>
          <w:tcPr>
            <w:tcW w:type="dxa" w:w="30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либо отсутствие обременения</w:t>
            </w:r>
          </w:p>
        </w:tc>
      </w:tr>
      <w:tr>
        <w:tc>
          <w:tcPr>
            <w:tcW w:type="dxa" w:w="1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Данные о финансовом положении СПИ:</w:t>
      </w:r>
    </w:p>
    <w:p>
      <w:pPr>
        <w:spacing w:after="120"/>
        <w:ind w:firstLine="567"/>
        <w:jc w:val="both"/>
      </w:pPr>
      <w:r>
        <w:rPr>
          <w:rFonts w:ascii="Arial" w:cs="Arial" w:eastAsia="Arial" w:hAnsi="Arial"/>
          <w:sz w:val="24"/>
          <w:szCs w:val="24"/>
        </w:rPr>
        <w:t xml:space="preserve">1)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9"/>
        <w:gridCol w:w="1386"/>
        <w:gridCol w:w="1582"/>
        <w:gridCol w:w="1649"/>
        <w:gridCol w:w="1734"/>
        <w:gridCol w:w="1258"/>
        <w:gridCol w:w="1620"/>
      </w:tblGrid>
      <w:tr>
        <w:tc>
          <w:tcPr>
            <w:tcW w:type="dxa" w:w="9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Уплаченные налоги</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направленной на формирование резервного фонда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распределяемой между владельцами ценных бумаг (дивиденд, доход)</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дивиденда на одну простую и привилегированную акцию</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Доходы регулируемого субъекта по ценным бумагам (кроме акций), начисленные в отчетном году по каждому виду ценных бумаг раздельно</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направления использования прибыли</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долей/акций регулируемого субъекта, выкупленных самим регулируемым субъектом финансового рынка</w:t>
            </w:r>
          </w:p>
        </w:tc>
      </w:tr>
      <w:tr>
        <w:tc>
          <w:tcPr>
            <w:tcW w:type="dxa" w:w="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данные об использовании резервного и других специальных фондов, регулируемых субъектом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2924"/>
        <w:gridCol w:w="4823"/>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Резервный фонд</w:t>
            </w:r>
          </w:p>
        </w:tc>
        <w:tc>
          <w:tcPr>
            <w:tcW w:type="dxa" w:w="29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специальные фонды</w:t>
            </w:r>
          </w:p>
        </w:tc>
        <w:tc>
          <w:tcPr>
            <w:tcW w:type="dxa" w:w="48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Использование резервного и других специальных фондов</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4. Требования к содержанию информации, подлежащей раскрытию СПИ (эмитентом), а также сроки раскрытия СПИ (эмитентом) информации на интернет-портале депозитария финансовой отчетности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41"/>
        <w:gridCol w:w="3336"/>
        <w:gridCol w:w="329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информации</w:t>
            </w:r>
          </w:p>
        </w:tc>
        <w:tc>
          <w:tcPr>
            <w:tcW w:type="dxa" w:w="3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информации</w:t>
            </w:r>
          </w:p>
        </w:tc>
        <w:tc>
          <w:tcPr>
            <w:tcW w:type="dxa" w:w="3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раскрытия</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решениях, принятых общим собранием акционеров (участников) или единственным акционером (участником)</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время и место проведения общего собрания акционеров (участников)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общим собранием акционеров (участников) или единственным акционером (участником)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вопросы, включенные в повестку дня общего собрания акционеров (участников)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решения, принятые общим собранием акционеров акционерного общества (участников), с указанием итогов (результатов) голосования;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 случае принятия общим собранием акционеров акционерного общества (участников) решения о добровольной ликвидации или добровольной реорганизации эмитента его дочерних организаций:</w:t>
            </w:r>
          </w:p>
          <w:p>
            <w:pPr>
              <w:jc w:val="left"/>
            </w:pPr>
            <w:r>
              <w:rPr>
                <w:rFonts w:ascii="Arial" w:cs="Arial" w:eastAsia="Arial" w:hAnsi="Arial"/>
                <w:sz w:val="24"/>
                <w:szCs w:val="24"/>
              </w:rPr>
              <w:t xml:space="preserve">- место нахождения, наименование реорганизуемого или ликвидируемого юридического лица;</w:t>
            </w:r>
          </w:p>
          <w:p>
            <w:pPr>
              <w:jc w:val="left"/>
            </w:pPr>
            <w:r>
              <w:rPr>
                <w:rFonts w:ascii="Arial" w:cs="Arial" w:eastAsia="Arial" w:hAnsi="Arial"/>
                <w:sz w:val="24"/>
                <w:szCs w:val="24"/>
              </w:rPr>
              <w:t xml:space="preserve">- форма и условия реорганизации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наличия у эмитента единственного акционера (участника) указывается дата решения единственного акционера (участника), решения, принятые единственным акционером (участником), иные сведения по решению эмитента</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избрании органа управления (наблюдательного совета), исполнительного органа (лица, единолично осуществляющего функции исполнительного органа), эмитента с указанием состава органа управления (наблюдательного совета), исполнительного органа (лица, единолично осуществляющего функции исполнительного органа) эмитента, а также изменениях в составе органа управления (наблюдательного совета), исполнительного органа (лица, единолично осуществляющего функции исполнительного органа)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избрании (назначении) либо изменении состава органа эмитента с указанием наименования органа эмитента, принявшего решение. В случае если досрочное прекращение полномочий члена органа управления и (или) исполнительного органа осуществляется по их инициативе, то указывается дата получения письменного уведомления органом управления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об избрании (назначении) либо изменении состава органа эмитента или после даты получения письменного уведомления органом управления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органа эмитента, состав которого избран (назначен) либо изменен;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состав органа эмитента либо суть изменений в составе органа эмитента: фамилия, имя, отчество (при его наличии) лиц, избранных (назначенных) в состав органа, фамилия, имя, отчество (при его наличии) лица, избранного (назначенного) в состав органа, а также исключенного из состава органа;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состав органа эмитента с учетом внесенных в него изменений с указанием фамилии, имени, отчества (при его наличии) каждого лица, входящего в состав органа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голосующих акций (долей участия в уставном капитале), принадлежащих избранному (назначенному) члену совета директоров (наблюдательного совета) эмитента, к общему количеству голосующих акций (долей участия в уставном капитале)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процентное соотношение акций (долей участия в уставном капитале), принадлежащих избранному (назначенному) члену совета директоров эмитента в дочерних организациях, к общему количеству размещенных акций (долей участия в уставном капитале) данных организаций.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общим собранием акционеров (участниками) и (или) советом директоров (наблюдательным советом) эмитента принято решение только об изменении состава органов эмитента, информация о данном решении размещается только в соответствии с пунктом 2 настоящего приложения с указанием об этом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составе акционеров (участников) и (или) об изменении в составе акционеров (участников), владеющих десятью и более процентами голосующих акций (долей участия)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состав акционеров (участников) владеющих десятью и более процентами голосующих акций (долей участия) эмитента:</w:t>
            </w:r>
          </w:p>
          <w:p>
            <w:pPr>
              <w:jc w:val="left"/>
            </w:pPr>
            <w:r>
              <w:rPr>
                <w:rFonts w:ascii="Arial" w:cs="Arial" w:eastAsia="Arial" w:hAnsi="Arial"/>
                <w:sz w:val="24"/>
                <w:szCs w:val="24"/>
              </w:rPr>
              <w:t xml:space="preserve">- для физического лица - фамилия, имя, отчество (при его наличии) лица; </w:t>
            </w:r>
          </w:p>
          <w:p>
            <w:pPr>
              <w:jc w:val="left"/>
            </w:pPr>
            <w:r>
              <w:rPr>
                <w:rFonts w:ascii="Arial" w:cs="Arial" w:eastAsia="Arial" w:hAnsi="Arial"/>
                <w:sz w:val="24"/>
                <w:szCs w:val="24"/>
              </w:rPr>
              <w:t xml:space="preserve">- для юридического лица - полное наименование и место нахождения юридического лица;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документов, подтверждающих регистрацию изменений в системе реестров держателей ценных бумаг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изменения состава акционеров (участников), владеющих десятью и более процентами голосующих акций (долей участия) эмитента (дата регистрации изменений в системе реестров держателей ценных бумаг);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суть изменений в составе акционеров (участников) эмитента:</w:t>
            </w:r>
          </w:p>
          <w:p>
            <w:pPr>
              <w:jc w:val="left"/>
            </w:pPr>
            <w:r>
              <w:rPr>
                <w:rFonts w:ascii="Arial" w:cs="Arial" w:eastAsia="Arial" w:hAnsi="Arial"/>
                <w:sz w:val="24"/>
                <w:szCs w:val="24"/>
              </w:rPr>
              <w:t xml:space="preserve">- для физического лица - фамилия, имя, отчество (при его наличии) лица, включенного в состав акционеров (участников) либо исключенного из состава акционеров (участников);</w:t>
            </w:r>
          </w:p>
          <w:p>
            <w:pPr>
              <w:jc w:val="left"/>
            </w:pPr>
            <w:r>
              <w:rPr>
                <w:rFonts w:ascii="Arial" w:cs="Arial" w:eastAsia="Arial" w:hAnsi="Arial"/>
                <w:sz w:val="24"/>
                <w:szCs w:val="24"/>
              </w:rPr>
              <w:t xml:space="preserve">- для юридического лица - полное наименование и место нахождения юридического лица, включенного в состав акционеров (участников) либо исключенного из состава акционеров (участников)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принятое советом директоров или соответствующим органом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акционерного общества, о размещении (реализации) акций, в том числе о количестве размещаемых (реализуемых) акций в пределах количества объявленных акций, способе и цене их размещения (реализации)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и количество размещаемых (реализуемых)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способ размещения;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цена размещения (реализации);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акционерного общества, о выкупе акционерным обществом размещенных акций, если количество выкупаемых обществом акций превышает один процент от общего количества размещенных акций, и цене их выкупа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и количество выкупаемых акций по инициативе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цена выкупаемых по инициативе общества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и условия выкупа по инициативе общества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выпуске облигаций и производных ценных бумаг</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советом директоров или соответствующим органом эмитента, не являющегося акционерным обществом, уполномоченным на принятие решения;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и вид выпускаемых облигаций и производных ценных бумаг;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номинальная стоимость и валюта номинальной стоимости;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объем выпуска;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сведения при необходимости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принятом общим собранием акционеров (единственным акционером) или советом директоров акционерного общества о заключении крупных сделок 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крупной сделке и (или) о сделке с заинтересованностью;</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принятия решения общим собранием акционеров (единственным акционером) или советом директоров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решение (решения), принятое (принятые) общим собранием акционеров (единственным акционером) или советом директоров акционерного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вид сделки;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предмет сделки;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такой сделки. Если решение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КР, при размещении информации публикуется только дата принятия решения о заключении крупной сделки и (или) сделки с заинтересованностью, а также иная информация по решению акционерного общества. При принятии в течение одного рабочего дня нескольких решений о заключении акционерным обществом крупной сделки и (или) сделки с заинтересованностью, допускается предоставление информации по таким решениям посредством представления акционерным обществом одной заявки, содержащей информацию по нескольким таким решениям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конвертировании ценных бумаг и (или) иных денежных обязательств акционерного общества в простые акции акционерного общества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конвертировании ценных бумаг и (или) иных денежных обязательств акционерного общества в простые акции акционерного общества;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подтверждающей конвертацию ценных бумаг и (или) иных денежных обязательств акционерного общества в простые акции акционерного общества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ценных бумаг и (или) иных денежных обязательств акционерного общества, подлежащих конвертированию, порядок конвертирования ценных бумаг</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обмене размещенных акций акционерного общества одного вида на акции данного акционерного общества другого вида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обмене размещенных акций общества одного вида на акции данного общества другого вида;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подтверждающей обмен размещенных акций акционерного общества одного вида на акции данного акционерного общества другого вида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акций, которые подлежали обмену, и количество акций, не подлежавших обмену, порядок обмена размещенных акций</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списке и (или) об изменении в списке организаций, в которых эмитент обладает десятью и более процентами акций (долей, паев) каждой такой организации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список организаций, в которых эмитент обладает десятью и более процентами акций (долей, паев) каждой такой организации;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документов подтверждающих, что эмитент стал обладать (перестал обладать) десятью и более процентами акций (долей, паев) в организации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организации, в которой эмитент стал обладать (перестал обладать) десятью и более процентами акций (долей, паев);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процентное соотношение количества акций (долей, паев) данной организации к общему количеству размещенных акций (долей, паев) организации на дату, следующую за датой изменения списка организаций, в которых эмитент обладает десятью и более процентами акций (долей, паев)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совершении акционерным обществом крупных сделок 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заключения договора о крупной сделке и (или) о сделке с заинтересованностью на дату принятия уполномоченным органом акционерного общества решения о заключении такой сделки либо дополнительного соглашения (дополнительного соглашения к договору);</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 заключения акционерным обществом договора либо дополнительного соглашения к договору;</w:t>
            </w:r>
          </w:p>
          <w:p>
            <w:pPr>
              <w:jc w:val="left"/>
            </w:pPr>
            <w:r>
              <w:rPr>
                <w:rFonts w:ascii="Arial" w:cs="Arial" w:eastAsia="Arial" w:hAnsi="Arial"/>
                <w:sz w:val="24"/>
                <w:szCs w:val="24"/>
              </w:rPr>
              <w:t xml:space="preserve">- получения акционерным обществом документов, подтверждающих его государственную или иную регистрацию в случае, если для заключения крупной сделки и (или) сделки с заинтересованностью необходима обязательная государственная или иная регистрация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предмет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принятия уполномоченным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стоимость имущества, являющегося предметом крупной сделки и (или) сделки с заинтересованностью на дату принятия уполномоченным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дата последней оценки имущества, являющегося предметом крупной сделки и (или) сделки с заинтересованностью, за исключением случаев, когда предметом сделки являются деньги и (или) выпускаемые (размещаемые) на первичном рынке ценные бумаги);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крупной сделки и (или) сделки с заинтересованностью;</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сведения о сторонах крупной сделки и (или) сделки с заинтересованностью, приобретенных или отчуждаемых активах, сроках и условиях сделки, характере и объеме долей участия вовлеченных лиц, а также при наличии иных сведений о сделке.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договор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КР, при размещении информации о сделках публикуется только дата заключения, а также иная информация по решению акционерного общества.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заключении в течение одного рабочего дня нескольких крупных сделок и (или) сделок с заинтересованностью, допускается предоставление информации по таким сделкам посредством представления акционерным обществом одной заявки, содержащей информацию по нескольким таким сделкам</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решении суда о принудительной ликвидации или реорганизации эмитента, а также о принудительной ликвидации или реорганизации его дочерних и зависимых организаций</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 принудительной ликвидации или реорганизации эмитента, дочерней организации и зависимой организации;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вступления в законную силу соответствующего решения суда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государственного органа, принявшего решение о принудительной ликвидации или реорганизации эмитента, дочерней организации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основание принятия решения о принудительной ликвидации или реорганизации эмитента, дочерней организации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нахождения и наименование ликвидируемой или реорганизуемой дочерней организации эмитента и (или)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форма и условия ликвидации или реорганизации эмитента, дочерней организации эмитента и зависимой организации;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иные условия принудительной ликвидации или реорганизации эмитента, дочерней организации эмитента и зависимой организации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передаче в залог (перезалог) имущества эмитента на сумму, составляющую десять и более процентов от размера общей балансовой стоимости активов данного эмитента, а также снятии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органом эмитента решения о передаче в залог (перезалог);</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 получения эмитентом документов, подтверждающих регистрацию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подлежит регистрации в соответствии с законодательными актами КР;</w:t>
            </w:r>
          </w:p>
          <w:p>
            <w:pPr>
              <w:jc w:val="left"/>
            </w:pPr>
            <w:r>
              <w:rPr>
                <w:rFonts w:ascii="Arial" w:cs="Arial" w:eastAsia="Arial" w:hAnsi="Arial"/>
                <w:sz w:val="24"/>
                <w:szCs w:val="24"/>
              </w:rPr>
              <w:t xml:space="preserve">- заключения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не подлежит регистрации в соответствии с законодательными актами КР;</w:t>
            </w:r>
          </w:p>
          <w:p>
            <w:pPr>
              <w:jc w:val="left"/>
            </w:pPr>
            <w:r>
              <w:rPr>
                <w:rFonts w:ascii="Arial" w:cs="Arial" w:eastAsia="Arial" w:hAnsi="Arial"/>
                <w:sz w:val="24"/>
                <w:szCs w:val="24"/>
              </w:rPr>
              <w:t xml:space="preserve">- получения эмитентом документов, подтверждающих снятие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возникновения права залога (перезалога) имущества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стоимость имущества эмитента, передаваемого в залог (перезалог);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последней оценки имущества эмитента, передаваемого в залог (перезалог) (в случае если проведение такой оценки требуется в соответствии с законодательством КР);</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стоимости имущества, передаваемого в залог (перезалог), к общей стоимости активов данного эмитента на дату принятия органом эмитента решения о передаче в залог (перезалог) имущества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дата снятия с залога (перезалога).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совершенная эмитентом сделка по передаче в залог (перезалог) имущества эмитента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14 настоящего приложения с указанием об этом</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номер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государственного органа, принявшего решение об аресте (снятии с ареста имущества) имущества эмитента, стоимость которого составляет десять и более процентов от размера общей балансовой стоимости активов эмитента, основание наложения ареста;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имущества эмитента, на которое наложен арест (снят арест), и его процентное соотношение к общей стоимости активов общества на дату ареста (снятия с ареста) имущества общества. В случае наложения ареста (снятия ареста) на деньги должника, находящиеся в банках, организациях, осуществляющих отдельные виды банковских операций, - указание суммы денег, на которую наложен арест (снят арест). В случае наложения ареста (снятия ареста) на ценные бумаги эмитента - общее количество арестованных (снятых с ареста) ценных бумаг, их вид, идентификационный номер, сведения об эмитенте данных ценных бумаг</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получении эмитентом займа в размере, составляющем двадцать пять и более процентов от размера общей балансовой стоимости активов эмитента, а также о полном погашении основного долга и начисленного вознаграждения по данному займу</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органом эмитента решения о получении займа (кредитной линии);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w:t>
            </w:r>
          </w:p>
          <w:p>
            <w:pPr>
              <w:jc w:val="left"/>
            </w:pPr>
            <w:r>
              <w:rPr>
                <w:rFonts w:ascii="Arial" w:cs="Arial" w:eastAsia="Arial" w:hAnsi="Arial"/>
                <w:sz w:val="24"/>
                <w:szCs w:val="24"/>
              </w:rPr>
              <w:t xml:space="preserve">заключения эмитентом договора о займе или кредитной линии в размере, составляющем двадцать пять и более процентов от размера общей балансовой стоимости активов эмитента, или полного погашения эмитентом основного долга и начисленного вознаграждения по данному займу или кредитной линии;</w:t>
            </w:r>
          </w:p>
          <w:p>
            <w:pPr>
              <w:jc w:val="left"/>
            </w:pPr>
            <w:r>
              <w:rPr>
                <w:rFonts w:ascii="Arial" w:cs="Arial" w:eastAsia="Arial" w:hAnsi="Arial"/>
                <w:sz w:val="24"/>
                <w:szCs w:val="24"/>
              </w:rPr>
              <w:t xml:space="preserve">когда общая сумма полученных и непогашенных займов с учетом начисленного вознаграждения в рамках одной кредитной линии достигнет двадцать пять и более процентов от размера общей балансовой стоимости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заключения договора о займе (кредитной линии);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общий размер займа (кредитной линии) эмитента, определенный договором;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цель получения эмитентом займа;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процентное соотношение размера полученного эмитентом займа (кредитной линии) к общей балансовой стоимости активов эмитента на дату принятия органом эмитента решения о получении займа;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дата полного погашения основного долга и начисленного вознаграждения по данному займу (кредитной линии).</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заключения эмитентом кредитной линии, составляющей двадцать пять и более процентов от размера общей балансовой стоимости активов эмитента, информация о данном событии подлежит дополнительному размещению, когда общая сумма выданных и непогашенных займов с учетом начисленного вознаграждения в рамках данной кредитной линии достигнет двадцать пять и более процентов от размера общей балансовой стоимости активов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совершенная эмитентом сделка по получению займа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16 настоящего приложения с указанием об этом</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наступлении обстоятельств, носящих чрезвычайный характер, в результате которых было уничтожено имущество эмитента, балансовая стоимость которого составляла десять и более процентов от общего размера активов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наступления обстоятельств, носящих чрезвычайный характер, повлекших уничтожение имущества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наступления обстоятельств, носящих чрезвычайный характер, повлекших уничтожение имущества эмитента, балансовая стоимость которого составляла десять и более процентов от общего размера активов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имущества эмитента, уничтоженного в связи с наступлением обстоятельств, носящих чрезвычайный характер;</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балансовая стоимость уничтоженного имущества эмитента в результате наступления обстоятельств, носящих чрезвычайный характер</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возбуждении в суде дела по корпоративному спору</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сведения об истце, ответчике по корпоративному спору (фамилия, имя, отчество (при его наличии) (для физического лица), полное наименование, место нахождения (для юридического лица);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соответствующего судебного извещения (вызова) по гражданскому делу по корпоративному спору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искового заявления, краткое содержание исковых требований;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суда, в котором рассматривается исковое заявление по корпоративному спору</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получении (прекращении, приостановлении) разрешений первой категории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наименование разрешительного органа, выдавшего разрешение первой категории, принявшего решение о приостановлении, прекращении действия разрешения первой категории;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документов о получении (прекращении, приостановлении) разрешений первой категории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выдачи, номер разрешения первой категории, срок действия разрешения;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вида деятельности, которое будет осуществляться в соответствии с разрешением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разрешительным органом решений о приостановлении (сроке приостановления), дате возобновления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основание приостановления (возобновления)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наименование вида деятельности, разрешение на осуществление которого было приостановлено (возобновлено);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дата принятия разрешительным органом решения о прекращении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основание прекращения действия разрешения первой категории;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наименование вида деятельности, разрешение на осуществление которого было прекращено</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изменении эмитентом негосударственных ценных бумаг основных видов деятельности</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принятия решения об изменении основных видов деятельности;</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зарегистрированного в уполномоченном органе устава и (или) изменений в устав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наименование измененных видов деятельности;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государственной регистрации устава и (или) изменений в устав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сканированная копия устава и (или) изменений в устав</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Проспект выпуска эмиссионных ценных бумаг эмитента с учетом внесенных в него изменений и (или) дополнений</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государственной регистрации уполномоченным органом проспекта выпуска эмиссионных ценных бумаг или дата регистрации уполномоченным органом изменений и (или) дополнений в проспект выпуска эмиссионных ценных бумаг эмитента;</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документов, подтверждающих государственную регистрацию уполномоченным органом проспекта выпуска эмиссионных ценных бумаг или регистрацию уполномоченным органом изменений и (или) дополнений в проспект выпуска эмиссионных ценных бумаг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сканированный вариант проспекта выпуска эмиссионных ценных бумаг эмитента в формате PDF, зарегистрированного уполномоченным органом;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сканированный вариант изменений и (или) дополнений в проспект выпуска эмиссионных ценных бумаг эмитента в формате PDF, зарегистрированных уполномоченным органом;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электронный вариант проспекта выпуска эмиссионных ценных бумаг эмитента с учетом внесенных в него изменений и (или) дополнений.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эмитентом от уполномоченного органа в течение одного рабочего дня нескольких зарегистрированных изменений и дополнений в проспект выпуска эмиссионных ценных бумаг эмитента допускается предоставление информации посредством представления эмитентом одной заявки, содержащей информацию по нескольким таким изменениям и дополнениям в проспект</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утверждении уполномоченным органом отчетов об итогах размещения акций акционерного общества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утверждения отчета об итогах размещения акций;</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акционерным обществом утвержденного уполномоченным органом отчета об итогах размещения акций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отчетный период размещения акций;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и вид размещенных в отчетном периоде акций</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аннулировании уполномоченным органом выпуска эмиссионных ценных бумаг и (или) о погашении эмиссионных ценных бумаг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аннулирования и (или) погашения выпуска эмиссионных ценных бумаг;</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получения эмитентом подтверждающих документов об аннулировании и (или) погашении эмиссионных ценных бумаг эмитента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международный идентификационный код ценной бумаги (ISIN), выпуск которой был аннулирован и (или) погашен;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основание для аннулирования и (или) погашения выпуска эмиссионных ценных бумаг эмитента;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количество и вид погашенных и (или) аннулированных эмиссионных ценных бумаг эмитента</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определения стоимости акций при их выкупе акционерным обществом на неорганизованном рынке ценных бумаг</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дата решения, принятого общим собранием учредителей (единственным учредителем);</w:t>
            </w:r>
          </w:p>
        </w:tc>
        <w:tc>
          <w:tcPr>
            <w:tcW w:type="dxa" w:w="32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(десяти) рабочих дней после даты получения документов, подтверждающих государственную регистрацию уполномоченным органом проспекта выпуска акций, в случае утверждения методики на учредительном собрании (единственным учредителем) акционерного общества или в течение 10 (десяти) рабочих дней после даты принятия решения общим собранием акционеров (единственным акционером) в случае утверждения методики и (или) изменений в методику на общем собрании акционеров общества (единственным акционером)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решения, принятого общим собранием акционеров (единственным акционером) акционерного общества об утверждении методики, если она не была утверждена учредительным собранием;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решения, принятого общим собранием акционеров (единственным акционером) акционерного общества, об утверждении изменений в методику;</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электронный вариант методики в формате PDF со всеми изменениями и дополнениями</w:t>
            </w: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иных событиях,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w:t>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включают следующее:</w:t>
            </w:r>
          </w:p>
          <w:p>
            <w:pPr>
              <w:jc w:val="left"/>
            </w:pPr>
            <w:r>
              <w:rPr>
                <w:rFonts w:ascii="Arial" w:cs="Arial" w:eastAsia="Arial" w:hAnsi="Arial"/>
                <w:sz w:val="24"/>
                <w:szCs w:val="24"/>
              </w:rPr>
              <w:t xml:space="preserve">1) сведения, затрагивающие интересы акционеров (участников) эмитента и (или) инвесторов, в соответствии с уставом и проспектом выпуска эмиссионных ценных бумаг эмитента;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возникновения иных событий,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 если </w:t>
            </w:r>
            <w:hyperlink w:history="1" r:id="rIdveqzpoiz5jenwdtxwzw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"Об акционерных обществах" и </w:t>
            </w:r>
            <w:hyperlink w:history="1" r:id="rId3pkebdsemph26blux-w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рынке ценных бумаг" не предусмотрены иные сроки доведения до сведения держателей ценных бумаг информации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несоблюдении эмитентом условий, предусмотренных проспектом выпуска негосударственных облигаций:</w:t>
            </w:r>
          </w:p>
          <w:p>
            <w:pPr>
              <w:jc w:val="left"/>
            </w:pPr>
            <w:r>
              <w:rPr>
                <w:rFonts w:ascii="Arial" w:cs="Arial" w:eastAsia="Arial" w:hAnsi="Arial"/>
                <w:sz w:val="24"/>
                <w:szCs w:val="24"/>
              </w:rPr>
              <w:t xml:space="preserve">- объем неисполненных обязательств, причина неисполнения обязательств, с указанием национального идентификационного номера (НИН) или международного идентификационного номера (ISIN) облигаций, вида облигаций, количества размещенных облигаций, размера купонной ставки, даты дефолта, суммы задолженности по купонному вознаграждению, суммы задолженности по основному долгу, остатка неурегулированного долга</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(трех) рабочих дней после даты несоблюдения эмитентом условий, предусмотренных проспектом выпуска негосударственных облигаций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fnadnesyheqboprzqp">
      <w:r>
        <w:rPr>
          <w:rFonts w:ascii="Arial" w:cs="Arial" w:eastAsia="Arial" w:hAnsi="Arial"/>
          <w:color w:val="132D3F"/>
          <w:sz w:val="16"/>
          <w:szCs w:val="16"/>
          <w:u w:val="single"/>
        </w:rPr>
        <w:t xml:space="preserve">dalil.kg/document/159063</w:t>
      </w:r>
    </w:hyperlink>
  </w:p>
  <w:p>
    <w:pPr>
      <w:spacing w:after="0" w:before="40"/>
      <w:jc w:val="center"/>
    </w:pPr>
    <w:hyperlink w:history="1" r:id="rIddtemxvzex0uuh2nln0p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e2bg9cuhvp2xo6n_9dy" Type="http://schemas.openxmlformats.org/officeDocument/2006/relationships/hyperlink" Target="https://dalil.kg/document/112301#st_13" TargetMode="External"/><Relationship Id="rIdv6lfw9hwtpogupvb73wov" Type="http://schemas.openxmlformats.org/officeDocument/2006/relationships/hyperlink" Target="https://dalil.kg/document/112301#st_17" TargetMode="External"/><Relationship Id="rId4yrhh1i_rkdmyeec4fexx" Type="http://schemas.openxmlformats.org/officeDocument/2006/relationships/hyperlink" Target="https://dalil.kg/document/159063" TargetMode="External"/><Relationship Id="rIdcl4tf6ncm9o4tdszxttfm" Type="http://schemas.openxmlformats.org/officeDocument/2006/relationships/hyperlink" Target="https://dalil.kg/document/159063#pr1" TargetMode="External"/><Relationship Id="rIdveqzpoiz5jenwdtxwzwyb" Type="http://schemas.openxmlformats.org/officeDocument/2006/relationships/hyperlink" Target="https://dalil.kg/document/1188" TargetMode="External"/><Relationship Id="rId3pkebdsemph26blux-wmd"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fnadnesyheqboprzqp" Type="http://schemas.openxmlformats.org/officeDocument/2006/relationships/hyperlink" Target="https://dalil.kg/document/159063" TargetMode="External"/><Relationship Id="rIddtemxvzex0uuh2nln0p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2026-09-30T15:06:09.598Z</dcterms:created>
  <dcterms:modified xsi:type="dcterms:W3CDTF">2026-09-30T15:06:09.598Z</dcterms:modified>
</cp:coreProperties>
</file>

<file path=docProps/custom.xml><?xml version="1.0" encoding="utf-8"?>
<Properties xmlns="http://schemas.openxmlformats.org/officeDocument/2006/custom-properties" xmlns:vt="http://schemas.openxmlformats.org/officeDocument/2006/docPropsVTypes"/>
</file>