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требований статей 336 и 345 Налогового кодекса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lhvem29yyvs1bi1ypud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g80gncgbkqv45msloc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17 февраля 2023 года №82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4ctuzqi-8uzjreicec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yaqvcp8om5_iph_zyy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_h6flnn8mpajikwskh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wll7sc79wo_3jx_hup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328, </w:t>
        </w:r>
      </w:hyperlink>
      <w:hyperlink w:history="1" r:id="rIddzrkxszgg9uyk1cs16b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tfez5un1uryht2ls8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2025 года №179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7yf0yq-cmeprpn-klj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2025 года № 253, </w:t>
        </w:r>
      </w:hyperlink>
      <w:hyperlink w:history="1" r:id="rIdvggmn7yndydrq_-ukhj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533, </w:t>
        </w:r>
      </w:hyperlink>
      <w:hyperlink w:history="1" r:id="rIdykstf5xvmj8osed_hk0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статей </w:t>
      </w:r>
      <w:hyperlink w:history="1" r:id="rIdhcyofpjfp0qzfe8bzzd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zckcoanz7l3c_caqhv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i-wuyr94vklu_uobw4_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pnoherx1i_5xnwmog_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bowyat46418q4qj0yf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p6vc715zm31hrngxu_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и администрирования депозитного платежа при ввозе маркируемой алкогольной продукции из государств-членов Евразийского экономического союза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ставки акцизного налога на отдельные подакцизные товары, производимые на территории Кыргызской Республики и ввозимые на территорию Кыргызской Республики, согласно </w:t>
      </w:r>
      <w:hyperlink w:history="1" r:id="rIdonx1zpf8yunstzer5x9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маркировке маркой акцизного сбора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2023 года пиво, расфасованное и нефасованное, классифицируемое в товарной позиции ТН ВЭД 2203, и табачные изделия, указанные в пунктах 6-8 части 1 </w:t>
      </w:r>
      <w:hyperlink w:history="1" r:id="rIdndjud-cn64j04win1i2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июня 2024 года воды, включая минеральные и газированные, содержащие добавки сахара или других подслащивающих или вкусо-ароматических веществ, классифицируемые в товарной позиции ТН ВЭД 2202;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сентября 2024 года табак трубочный, курительный, нюхательный, кальянный (за исключением табака, используемого в качестве сырья для производства табачной продукции), классифицируемые в товарной позиции ТН ВЭД 2403;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сентября 2024 года масла смазочные, масла прочие, присадки к смазочным маслам, содержащие нефть или нефтепродукты, полученные из битуминозных пород, классифицируемые в товарной позиции ТН ВЭД 2710197100-2710199800, 3403199000</w:t>
      </w:r>
      <w:r>
        <w:rPr>
          <w:rFonts w:ascii="Arial" w:cs="Arial" w:eastAsia="Arial" w:hAnsi="Arial"/>
          <w:sz w:val="24"/>
          <w:szCs w:val="24"/>
        </w:rPr>
        <w:t xml:space="preserve"> и 3811210000;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мая 2025 года жидкие очистители, спреи для автомобилей и уайт-спирит, не предназначенные для использования в качестве автомобильного топлива, расфасованные в тару объемом 10 литров и менее, классифицируемые в товарных позициях ТН ВЭД 3811190000, 2710122509, 2710122100;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с 1 января 2027 года национальные напитки (бозо, максым и жарма) в соответствии с КМС 891:2003 "Напиток "Бозо" Технические условия" и КМС 980:2021 "Напитки национальные "Максым" и "Жарма" Технические условия", классифицируемые в товарной позиции ТН ВЭД 2202;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мая 2027 года налогоплательщики, зарегистрированные в качестве субъектов общественного питания, осуществляющие розничную реализацию вод собственного производства, включая минеральные и газированные, содержащие добавки сахара или других подслащивающих или вкусоароматических веществ, классифицируемых в товарной позиции ТН ВЭД 2202.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 остатков немаркированных подакцизных товаров, указанных в настоящем пункте, запрещается по истечении 6 месяцев с даты введения маркировки, за исключением детского питания в соответствии с техническим регламентом Таможенного союза "О безопасности пищевой продукции" (ТР ТС 021/2011) (при наличии соответствующего свидетельства о государственной регистрации), классифицируемого в товарной позиции ТН ВЭД 2202, срок запрета на оборот по которым устанавливается с 1 мая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l7ujvy8dvqg7d__nha5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118, </w:t>
        </w:r>
      </w:hyperlink>
      <w:hyperlink w:history="1" r:id="rIdgpqkaoven2zmxhdgsqd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525, </w:t>
        </w:r>
      </w:hyperlink>
      <w:hyperlink w:history="1" r:id="rIdfjtqgruxily8d25rlij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2025 года №179, </w:t>
        </w:r>
      </w:hyperlink>
      <w:hyperlink w:history="1" r:id="rIdiej-liqupo1anrdsbug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rbhugizjdmw3cjoerj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депозитный платеж, вносимый импортерами, для обеспечения надлежащего использования акцизных марок при ввозе маркируемой алкогольной продукции в Кыргызскую Республику из государств-членов Евразийского экономического союза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(пять) расчетных показателей на один литр алкогольной продукции (за исключением пива, классифицируемого в товарной позиции ТН ВЭД 2203);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(один) расчетный показатель на один литр пива, расфасованного и нефасованного, классифицируемого в товарной позиции ТН ВЭД 2203, с 1 января 2028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основу принимается расчетный показатель, действующий на первое число соответствующего года в порядке, установленном </w:t>
      </w:r>
      <w:hyperlink w:history="1" r:id="rIdvwaopi8kgpiw6adyo3x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расчетном показателе".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hhf8u6uj3jhpk4cr_dt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февраля 2023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jz0finewugrnkz0r0m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118, </w:t>
        </w:r>
      </w:hyperlink>
      <w:hyperlink w:history="1" r:id="rIdaju8e8-eg4z78yhmcvb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2n8tzowyebkrxd6mio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 марта 2023 года № 125)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водных ресурсов, сельского хозяйства и перерабатывающей промышленности Кыргызской Республики совместно с полномочными представителями Президента Кыргызской Республики в областях обеспечить увеличение объема экспорта в 2 раза к 2030 году компотов, шербетов, нектаров и морсов, производимых отечественными перерабатывающими предприятиями, приобретающими у сельскохозяйственных кооперативов фрукты, сухофрукты и ягоды.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ontezy5tmxbufqgcax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2025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 и четырнадцатый пункта 1, пункты 3 - 3-2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статью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3 марта 2009 года № 140;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2 апреля 2009 года № 211;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5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15 июля 2011 года № 392;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20 сентября 2011 года № 562;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9 ноября 2011 года № 706;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6 августа 2012 года № 547;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18 марта 2013 года № 139;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735"от 30 апреля 2013 года № 221;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9 сентября 2013 года № 494;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23 января 2014 года № 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8 апреля 2014 года № 203;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13 мая 2014 года № 255;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3 июня 2014 года № 304;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20 мая 2015 года № 308;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20 мая 2015 года № 309;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22 июня 2015 года № 392;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постановления Правительства Кыргызской Республики "О внесении дополнений и изменений в некоторые решения Правительства Кыргызской Республики" от 16 сентября 2016 года № 646;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17 февраля 2017 года № 109;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2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4 июля 2017 года № 416;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17 ноября 2017 года № 749;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26 декабря 2019 года № 711;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и признании утратившим силу решения Правительства Кыргызской Республики по вопросам налогообложения" от 6 ноября 2020 года № 540;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акцизных марок" от 29 июля 2021 года № 95;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25 октября 2021 года № 229;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1 ноября 2021 года № 234;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20 декабря 2021 года № 321.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января 2022 года.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применения и администрирования депозитного платежа при ввозе маркируемой алкогольной продукции из государств-членов Евразийского экономического союза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rzd1gcyvca9hl6apzb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февраля 2023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mymzdxt-tyz0bhxils1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q1iqajgkbosuqwgwlf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328, </w:t>
        </w:r>
      </w:hyperlink>
      <w:hyperlink w:history="1" r:id="rIdplzntzdxu934o9dnuhm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18-декабря 2025 года №811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345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в целях обеспечения надлежащего применения акцизных марок и/или средств цифровой идентификации, поступлений акцизного налога в государственный бюджет и регламентирует применение и администрирование депозитного платежа.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депозитный платеж</w:t>
      </w:r>
      <w:r>
        <w:rPr>
          <w:rFonts w:ascii="Arial" w:cs="Arial" w:eastAsia="Arial" w:hAnsi="Arial"/>
          <w:sz w:val="24"/>
          <w:szCs w:val="24"/>
        </w:rPr>
        <w:t xml:space="preserve"> - предварительный платеж, вносимый налогоплательщиком, для обеспечения надлежащего использования акцизных марок и/или средств цифровой идентификации при импорте маркируемой алкогольной продукции в Кыргызскую Республику из государств-членов Евразийского экономического союза (далее - ЕАЭС);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импортер</w:t>
      </w:r>
      <w:r>
        <w:rPr>
          <w:rFonts w:ascii="Arial" w:cs="Arial" w:eastAsia="Arial" w:hAnsi="Arial"/>
          <w:sz w:val="24"/>
          <w:szCs w:val="24"/>
        </w:rPr>
        <w:t xml:space="preserve"> - налогоплательщик, осуществляющий ввоз подакцизной маркируемой алкогольной продукции из государств-членов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налоговый орган</w:t>
      </w:r>
      <w:r>
        <w:rPr>
          <w:rFonts w:ascii="Arial" w:cs="Arial" w:eastAsia="Arial" w:hAnsi="Arial"/>
          <w:sz w:val="24"/>
          <w:szCs w:val="24"/>
        </w:rPr>
        <w:t xml:space="preserve"> - центральный государственный орган налоговой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налоговые органы</w:t>
      </w:r>
      <w:r>
        <w:rPr>
          <w:rFonts w:ascii="Arial" w:cs="Arial" w:eastAsia="Arial" w:hAnsi="Arial"/>
          <w:sz w:val="24"/>
          <w:szCs w:val="24"/>
        </w:rPr>
        <w:t xml:space="preserve"> - территориальные и/или функциональные подразделения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по администрированию депозитного счета (далее - реестр)</w:t>
      </w:r>
      <w:r>
        <w:rPr>
          <w:rFonts w:ascii="Arial" w:cs="Arial" w:eastAsia="Arial" w:hAnsi="Arial"/>
          <w:sz w:val="24"/>
          <w:szCs w:val="24"/>
        </w:rPr>
        <w:t xml:space="preserve"> - основной документ системы учета поступления, перечисления на бюджетный счет и возврата депозитных платежей, оформляемый для каждого импортера и суммы в отдельности;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6) (утратил силу в соответствии с </w:t>
      </w:r>
      <w:hyperlink w:history="1" r:id="rId66mbajworscrdfknf54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2024 года № 328)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банковская гарантия</w:t>
      </w:r>
      <w:r>
        <w:rPr>
          <w:rFonts w:ascii="Arial" w:cs="Arial" w:eastAsia="Arial" w:hAnsi="Arial"/>
          <w:sz w:val="24"/>
          <w:szCs w:val="24"/>
        </w:rPr>
        <w:t xml:space="preserve"> - это письменное обязательство коммерческого банка Кыргызской Республики, гарантирующего оплатить органу налоговой службы сумму обязательства импортера в размере депозитного платежа, указанную в банковской гарантии налогоплательщика, за ненадлежащее использование марок акцизного сбора.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uf2tzlmchmbiwjy0t8u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февраля 2023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yeimbvc0wgqo-jumdf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vvpdnvcmzv60hym7sx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uu1jvlac2me--qewg3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понятия, используемые в настоящем Порядке, применяются в значении, определенном настоящим Порядком. В случае отсутствия трактовки в настоящем Порядке термины и понятия применяются в значении, определенном соответствующим законодательством Кыргызской Республики и/или законодательством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Депозитный платеж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марок акцизного сбора и/или средств цифровой идентификации в соответствии с их назначением;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вывоз импортером марок акцизного сбора и/или средств цифровой идентификации для наклеивания на алкогольную продукцию на территории государств-членов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импорт алкогольной продукции, промаркированной марками акцизного сбора и/или средствами цифровой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уплату косвенных налогов по импортированной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отчета импортерами о надлежащем использовании марок акцизного сбора и/или средств цифровой идентификации при импорте алкогольной продукции в Кыргызскую Республику из стран-членов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возврат импортером испорченных и (или) неиспользованных марок акцизного сбора и/или средств цифровой идентификации.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Применение депозитного платежа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Налогоплательщик, осуществляющий ввоз маркируемой алкогольной продукции из государств-членов ЕАЭС, дополнительно к документам, представляемым при получении акцизных марок и/или средств цифровой идентификации, представляет в уполномоченный налоговый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обязательство о целевом использовании акцизных марок и/или средств цифровой идентификации при импорте алкогольной продукции в Кыргызскую Республику из государств-членов ЕАЭС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(далее - обязательство);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платежный документ, подтверждающий внесение денег на депозитный счет уполномоченного налогового органа для обеспечения исполнения обязательства, или банковскую гарантию, выданную на имя уполномоченного налогового органа, в размере депозитного платежа со сроком действия не менее 6 месяцев с даты подачи заявления на получение акцизных марок.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1ekt_lkvwrarttouf9_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февраля 2023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a4112bki8jnjhrfpzx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328, </w:t>
        </w:r>
      </w:hyperlink>
      <w:hyperlink w:history="1" r:id="rIdxqmdufycmwazgpnpxnm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Обязательство обеспечивается путем внесения денежных средств на депозитный счет уполномоченного налогового органа или предоставления банковской гарантии в размере, установленном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rs1cqhjl9pya9y1-h8w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февраля 2023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n8jg-b_ia1m5ivk0my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328, </w:t>
        </w:r>
      </w:hyperlink>
      <w:hyperlink w:history="1" r:id="rId3dcexroz5ekmurz-wf0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Внесение денег на депозитный счет или предоставление банковской гарантии осуществляется в национальной валюте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qcobjh7mk1ycnrxkowq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февраля 2023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uaeh3e23rdu3pk5mjb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328, </w:t>
        </w:r>
      </w:hyperlink>
      <w:hyperlink w:history="1" r:id="rIdaggjswr7-nj_xzvdxfl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неполном представлении документов, указанных в настоящем Порядке, акцизные марки и/или средств цифровой идентификации не выдаются.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Копии документов, указанных в пункте 5 настоящего Порядка, хранятся в налоговых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Администрирование депозитного платежа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Импортер маркируемой алкогольной продукции в срок не позднее 6 (шесть) месяцев с месяца, в котором вынесено решение на получение акцизных марок и/или решение на отправку акцизных марок зарубежным заводам-производителям, обязан представить в уполномоченный налоговый орган отчет о надлежащем использовании акцизных марок при импорте маркируемой алкогольной продукции в Кыргызскую Республику из государств-членов ЕАЭС (далее - отчет) в двух экземплярах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Порядку,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заявления о ввозе товаров и уплате косвенных налогов, подтвержденная налоговыми органами по месту налоговой регистрации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выписка банка, подтверждающая фактическую уплату косвенных налогов по импортированным товарам, и (или) иной платежный документ, предусмотренный банковским законодательством Кыргызской Республики, подтверждающий исполнение налогового обязательства по уплате косвенных налогов по импортированным товарам;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товаросопроводительных документов, подтверждающих перемещение маркируемой алкогольной продукции из государств-членов ЕАЭС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счетов-фактур, оформленных в соответствии с законодательством государства-члена ЕАЭС при отгрузке товаров, в случае если их выставление (выписка) предусмотрено законодательством государства-члена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документа уполномоченного органа государства-члена ЕАЭС о регистрации поставщика алкогольной продукции в качестве производителя или оптового реализатора маркируемой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справка от производителя маркируемой алкогольной продукции государства-члена ЕАЭС о наклеенных акцизных марках и/или средствах цифровой идентификации (агрегированный код) на импортируемую алкогольную продукцию с указанием вида, наименования, объема алкогольной продукции, а также серии и диапазона номеров и количества акцизных марок, с печатью и подписью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Один экземпляр отчета остается в уполномоченном налоговом органе, второй экземпляр вручается (направляется) импортеру либо его представителю.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налоговый орган осуществляет учет и контроль за исполнением импортером обязательств по внесению денежных средств на депозитный счет. Для учета внесенных импортером денежных средств уполномоченный налоговый орган ведет реестр по суммам исполнения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bsepkn30rxkuf1mpqo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Реестр предназначен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учета денежных средств, внесенных на депозитный счет уполномоченного налогового органа или предоставленной банковской гарантии;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своевременного зачисления сумм депозитного платежа с депозитного счета уполномоченного налогового органа или истребования исполнения банковской гарантии в доход государственного бюджета по неисполненным обязательствам импортеров;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возврата (зачета) денежных средств, внесенных на депозитный счет уполномоченного налогового органа, на банковские счета налогоплательщика по исполненным обязательствам или в счет другого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nvvfj6c7hntomkri3t8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февраля 2023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nffms7wt5wo254mfko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jxnoal_7bahqzebz5b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328, </w:t>
        </w:r>
      </w:hyperlink>
      <w:hyperlink w:history="1" r:id="rIdj7xudrhvmpfnozy4xqs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Реестр по депозитным платежам ведется с включением информации по каждому налогоплательщику и сумме для учета денежных средств, внесенных на депозитный счет уполномоченного налогового органа на основании принятого обязательства или предоставленной банковской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ku3a2drvgj0xukyxtvx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c8-cc00kn3kkqia0e4r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ukq0fzbrhu_s_vbhxt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Уполномоченным налоговым органом ведется реестр платежных документов, где указываются суммы депозитных платежей, внесенных налогоплательщиком на депозитный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Основанием для внесения в реестр является внесение налогоплательщиком денежных средств на депозитный счет уполномоченного налогового органа или предоставление банковской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qi24qc3rwfbxlk_qoq6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февраля 2023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mldgd3nn0akvhyjrds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dah3jbudygzq4dcyy9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teyoucc8hjut1fbmj8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Реестр по депозитным платежам открывается на каждый календарный год. Остаток средств переносится на следующий год. В реестре по депозитным платежам в обязательном порядке указываются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gqbz6uoqkwebr2ak0bx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Депозитный платеж, внесенный на счет уполномоченного </w:t>
      </w:r>
      <w:r>
        <w:rPr>
          <w:rFonts w:ascii="Arial" w:cs="Arial" w:eastAsia="Arial" w:hAnsi="Arial"/>
          <w:sz w:val="24"/>
          <w:szCs w:val="24"/>
        </w:rPr>
        <w:t xml:space="preserve">налогового </w:t>
      </w:r>
      <w:r>
        <w:rPr>
          <w:rFonts w:ascii="Arial" w:cs="Arial" w:eastAsia="Arial" w:hAnsi="Arial"/>
          <w:sz w:val="24"/>
          <w:szCs w:val="24"/>
        </w:rPr>
        <w:t xml:space="preserve">органа, подлежит возврату импортеру не позднее 30 (тридцать) календарных дней после подачи в уполномоченный налоговый орган письменного заявления о возврате депозитного платежа при условии: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соответствующей отчетности о надлежащем использовании акцизных марок и/или средств цифровой идентификации при импорте маркируемой алкогольной продукции в Кыргызскую Республику из государств-членов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налоговой задолженности по косвенным налогам.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6ljr2suwfzdoi4omsbt5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февраля 2023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применения и администрирования депозитного платежа при ввозе маркируемой алкогольной продукции из государств-членов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ОБЯЗАТЕЛЬСТВО
 о целевом использовании акцизных марок и/или средств цифровой идентификации при импорте алкогольной продукции в Кыргызскую Республику из государств-членов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импортера, ИНН, юридический адрес, банковские реквизиты) обязуется в соответствии с Порядком применения и администрирования депозитного платежа при ввозе маркируемой алкогольной продукции из государств-членов Евразийского экономического союза, утверждаемым Кабинетом Министров Кыргызской Республики, использовать акцизные марки и/или средства цифровой идентификации в соответствии с их назначением, перечислить денежные средства на депозитный счет уполномоченного налогового органа для обеспечения обязательства, осуществить вывоз акцизных марок и/или средств цифровой идентификации для наклеивания на алкогольную продукцию за пределами территории Кыргызской Республики, осуществить ввоз в установленном порядке на территорию Кыргызской Республики маркированной акцизными марками алкогольной продукции и ее доставку до места назначения, возвратить испорченные и (или) неиспользованные акцизные марки и/или средства цифровой идентификации в уполномоченный налоговый орган, уплатить косвенные налоги по импортированной алкогольной продукции, представить в уполномоченный налоговый орган отчет о надлежащем использовании акцизных марок при импорте маркируемой алкогольной продукции в Кыргызскую Республику из государств-членов Евразийского экономического союза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неисполнения вышеуказанных действий денежные средства, являющиеся суммой депозита в рамках настоящего обязательства, уполномоченным налоговым органом будут перечислены в доход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"____" ____________________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
 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
 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применения и администрирования депозитного платежа при ввозе маркируемой алкогольной продукции из государств-членов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надлежащем использовании акцизных марок при импорте маркируемой алкогольной продукции в Кыргызскую Республику из государств-членов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ИНН и адрес местонахождения импортера, осуществляющего ввоз (импорт) маркируемой алкогольной продукции)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1042"/>
        <w:gridCol w:w="1042"/>
        <w:gridCol w:w="829"/>
        <w:gridCol w:w="961"/>
        <w:gridCol w:w="829"/>
        <w:gridCol w:w="695"/>
        <w:gridCol w:w="695"/>
        <w:gridCol w:w="610"/>
        <w:gridCol w:w="610"/>
        <w:gridCol w:w="610"/>
        <w:gridCol w:w="610"/>
        <w:gridCol w:w="695"/>
        <w:gridCol w:w="695"/>
      </w:tblGrid>
      <w:tr>
        <w:tc>
          <w:tcPr>
            <w:tcW w:type="dxa" w:w="2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решения на получение акцизных марок/на отправку акцизных марок зарубежным заводам-производителям или номер заявки на получение кодов маркировки</w:t>
            </w:r>
          </w:p>
        </w:tc>
        <w:tc>
          <w:tcPr>
            <w:tcW w:type="dxa" w:w="10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решения на получение акцизных марок/на отправку акцизных марок зарубежным заводам-производителям или дата заявки на получение кодов маркировки</w:t>
            </w:r>
          </w:p>
        </w:tc>
        <w:tc>
          <w:tcPr>
            <w:tcW w:type="dxa" w:w="8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алкогольной продукции</w:t>
            </w:r>
          </w:p>
        </w:tc>
        <w:tc>
          <w:tcPr>
            <w:tcW w:type="dxa" w:w="9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алкогольной продукции, на которую использованы акцизные марки или средства цифровой идентификации</w:t>
            </w:r>
          </w:p>
        </w:tc>
        <w:tc>
          <w:tcPr>
            <w:tcW w:type="dxa" w:w="8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Емкость алкогольной продукции</w:t>
            </w:r>
          </w:p>
        </w:tc>
        <w:tc>
          <w:tcPr>
            <w:tcW w:type="dxa" w:w="13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Выдано акцизных марок</w:t>
            </w:r>
          </w:p>
        </w:tc>
        <w:tc>
          <w:tcPr>
            <w:tcW w:type="dxa" w:w="24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Использовано акцизных марок или номер заявки на получение кодов маркировки для маркировки алкогольной продукции</w:t>
            </w:r>
          </w:p>
        </w:tc>
        <w:tc>
          <w:tcPr>
            <w:tcW w:type="dxa" w:w="13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Возвращено в уполномоченный налоговый орган испорченных и (или) неиспользованных акцизных марок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и диапазон номеров акцизных марок</w:t>
            </w:r>
          </w:p>
        </w:tc>
        <w:tc>
          <w:tcPr>
            <w:tcW w:type="dxa" w:w="6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(штук)</w:t>
            </w:r>
          </w:p>
        </w:tc>
        <w:tc>
          <w:tcPr>
            <w:tcW w:type="dxa" w:w="12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Заявление о ввозе товаров и уплате косвенных налогов, подтвержденное налоговым органом</w:t>
            </w:r>
          </w:p>
        </w:tc>
        <w:tc>
          <w:tcPr>
            <w:tcW w:type="dxa" w:w="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диапазон номеров</w:t>
            </w:r>
          </w:p>
        </w:tc>
        <w:tc>
          <w:tcPr>
            <w:tcW w:type="dxa" w:w="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(штук)</w:t>
            </w:r>
          </w:p>
        </w:tc>
        <w:tc>
          <w:tcPr>
            <w:tcW w:type="dxa" w:w="6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диапазон номеров</w:t>
            </w:r>
          </w:p>
        </w:tc>
        <w:tc>
          <w:tcPr>
            <w:tcW w:type="dxa" w:w="6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(штук)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выдано _______ штук акцизных марок,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использовано для маркировки _______ штук;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возвращено _______ штук;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_______ штук.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отчету на _____ 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
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
 (при его наличии)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
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
 акцизного налога на отдельные подакцизные товары, производимые на территории Кыргызской Республики и ввозимые на территорию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vj-ciam4tahenvji9j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4812"/>
        <w:gridCol w:w="1252"/>
        <w:gridCol w:w="1252"/>
        <w:gridCol w:w="1252"/>
        <w:gridCol w:w="1252"/>
      </w:tblGrid>
      <w:tr>
        <w:tc>
          <w:tcPr>
            <w:tcW w:type="dxa" w:w="3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подакцизной продукции</w:t>
            </w:r>
          </w:p>
        </w:tc>
        <w:tc>
          <w:tcPr>
            <w:tcW w:type="dxa" w:w="50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акциза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2026 года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2027 года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2028 года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2029 года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Воды, включая минеральные и газированные, содержащие добавки сахара или других подслащивающих или вкусоароматических веществ, классифицируемые в товарной позиции ТН ВЭД 2202, за исключением национальных напитков (бозо, максым и жарма) в соответствии с КМС 891:2003 "Напиток "Бозо" Технические условия" и КМС 980:2021 "Напитки национальные "Максым" и "Жарма" Технические условия"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напитки (бозо, максым и жарма) в соответствии с КМС 891:2003 "Напиток "Бозо" Технические условия" и КМС 980:2021 "Напитки национальные "Максым" и "Жарма" Технические условия", классифицируемые в товарной позиции ТН ВЭД 2202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Энергетические безалкогольные напитки, классифицируемые в товарной позиции ТН ВЭД 2202, с 1 апреля 2024 года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сом/литр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Компоты, шербеты, нектары и морсы, с добавлением сахара, произведенные отечественными сельскохозяйственными переработчиками из фруктов, сухофруктов и ягод, приобретенных у отечественных сельскохозяйственных производителей, классифицируемые в товарной позиции ТН ВЭД 2202, с 15 мая 2025 года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сом/литр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Воды, включая минеральные и газированные, содержащие добавки сахара или других подслащивающих или вкусоароматических веществ, классифицируемые в товарной позиции ТН ВЭД 2202, производимые и реализуемые в розницу субъектами общественного питания с 1 мая 2027 года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сомов/литр</w:t>
            </w:r>
          </w:p>
        </w:tc>
        <w:tc>
          <w:tcPr>
            <w:tcW w:type="dxa" w:w="37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Вина, классифицируемые в товарных позициях ТН ВЭД 2204 (кроме 220410 и 220430), 2205, 2206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классифицируемая в товарной позиции ТН ВЭД 220860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Ликеро-водочные изделия, классифицируемые в товарных позициях ТН ВЭД 220830, 220870, 220890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бальзамы, классифицируемые в товарных позициях ТН ВЭД 220840, 220850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 (кроме коньячного спирта), классифицируемые в товарных позициях ТН ВЭД 2208201200-2208202900, 2208206200-2208208900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 неденатурированный, этиловый спирт и прочие спиртовые настойки, денатурированные, любой концентрации, кроме отпускаемого товаропроизводителям или импортируемого товаропроизводителями для выработки водки, ликероводочных изделий, крепленых напитков, крепленых соков, бальзама, вина, при наличии у них лицензии на право их производства, и спецпотребителям в пределах норм, классифицируемые в товарной позиции ТН ВЭД 2207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Слабоалкогольные напитки, классифицируемые в товарных позициях ТН ВЭД 220860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Виноматериалы, классифицируемые в товарных позициях ТН ВЭД 220430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расфасованное и нефасованное, классифицируемое в товарной позиции ТН ВЭД 2203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сомов/литр</w:t>
            </w:r>
          </w:p>
        </w:tc>
        <w:tc>
          <w:tcPr>
            <w:tcW w:type="dxa" w:w="25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игристые, включая, вино газированное и шампанское, классифицируемые в товарной позиции ТН ВЭД 2204, 2205, 2206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Бензины моторные, специальные, легкие и средние дистилляты, прочие бензины и дистилляты, за исключением зимнего дизельного топлива, классифицируемые в товарных позициях ТН ВЭД 271012110-271012900, 2710191100-2710191500, 2710192500, 271019290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сомов/тонна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реактивное, классифицируемое в товарной позиции ТН ВЭД 2710192100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сомов/тонна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Дизтопливо, классифицируемое в товарных позициях ТН ВЭД 2710193100-2710194800, 2710201100-2710201900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сомов/тонна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классифицируемый в товарных позициях ТН ВЭД 271019510-2710196809, 2710203101-2710203909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сомов/тонна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дистилляты (в отношении зимнего дизельного топлива), классифицируемые в товарных позициях ТН ВЭД 2710192900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сомов/тонна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акцизного налога на 1 литр ликеро-водочных изделий, крепленых напитков, крепленых соков и бальзамов пересчитывается с учетом содержания в них спирта этилового, за исключением прочих слабоалкогольных напитков, классифицируемых в товарной позиции ТН ВЭД 220890, кроме прочих настоек. При этом базовой ставкой является ставка на данные изделия крепостью 40 объемных процентов спирта.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hvem29yyvs1bi1ypudns" Type="http://schemas.openxmlformats.org/officeDocument/2006/relationships/hyperlink" Target="http://kodeks.duckdns.org/document/159341" TargetMode="External"/><Relationship Id="rIdtg80gncgbkqv45msloc5x" Type="http://schemas.openxmlformats.org/officeDocument/2006/relationships/hyperlink" Target="http://kodeks.duckdns.org/document/159962" TargetMode="External"/><Relationship Id="rId64ctuzqi-8uzjreicecuo" Type="http://schemas.openxmlformats.org/officeDocument/2006/relationships/hyperlink" Target="http://kodeks.duckdns.org/document/160011" TargetMode="External"/><Relationship Id="rIdnyaqvcp8om5_iph_zyy5t" Type="http://schemas.openxmlformats.org/officeDocument/2006/relationships/hyperlink" Target="http://kodeks.duckdns.org/document/160417" TargetMode="External"/><Relationship Id="rIdj_h6flnn8mpajikwskhfq" Type="http://schemas.openxmlformats.org/officeDocument/2006/relationships/hyperlink" Target="http://kodeks.duckdns.org/document/230003746" TargetMode="External"/><Relationship Id="rIdlwll7sc79wo_3jx_hupdn" Type="http://schemas.openxmlformats.org/officeDocument/2006/relationships/hyperlink" Target="http://kodeks.duckdns.org/document/230009431" TargetMode="External"/><Relationship Id="rIddzrkxszgg9uyk1cs16bl3" Type="http://schemas.openxmlformats.org/officeDocument/2006/relationships/hyperlink" Target="http://kodeks.duckdns.org/document/230013025" TargetMode="External"/><Relationship Id="rIdvitfez5un1uryht2ls8i8" Type="http://schemas.openxmlformats.org/officeDocument/2006/relationships/hyperlink" Target="http://kodeks.duckdns.org/document/230037949" TargetMode="External"/><Relationship Id="rIdh7yf0yq-cmeprpn-klj-j" Type="http://schemas.openxmlformats.org/officeDocument/2006/relationships/hyperlink" Target="http://kodeks.duckdns.org/document/230026907" TargetMode="External"/><Relationship Id="rIdvggmn7yndydrq_-ukhjed" Type="http://schemas.openxmlformats.org/officeDocument/2006/relationships/hyperlink" Target="http://kodeks.duckdns.org/document/230030441" TargetMode="External"/><Relationship Id="rIdykstf5xvmj8osed_hk0yg" Type="http://schemas.openxmlformats.org/officeDocument/2006/relationships/hyperlink" Target="http://kodeks.duckdns.org/document/230037927" TargetMode="External"/><Relationship Id="rIdhcyofpjfp0qzfe8bzzdju" Type="http://schemas.openxmlformats.org/officeDocument/2006/relationships/hyperlink" Target="http://kodeks.duckdns.org/document/112340#st_336" TargetMode="External"/><Relationship Id="rIddzckcoanz7l3c_caqhvor" Type="http://schemas.openxmlformats.org/officeDocument/2006/relationships/hyperlink" Target="http://kodeks.duckdns.org/document/112340#st_345" TargetMode="External"/><Relationship Id="rIdi-wuyr94vklu_uobw4_ut" Type="http://schemas.openxmlformats.org/officeDocument/2006/relationships/hyperlink" Target="http://kodeks.duckdns.org/document/112301#st_13" TargetMode="External"/><Relationship Id="rIdapnoherx1i_5xnwmog_zz" Type="http://schemas.openxmlformats.org/officeDocument/2006/relationships/hyperlink" Target="http://kodeks.duckdns.org/document/112301#st_17" TargetMode="External"/><Relationship Id="rIdbbowyat46418q4qj0yfn6" Type="http://schemas.openxmlformats.org/officeDocument/2006/relationships/hyperlink" Target="http://kodeks.duckdns.org/document/430908" TargetMode="External"/><Relationship Id="rId5p6vc715zm31hrngxu_w_" Type="http://schemas.openxmlformats.org/officeDocument/2006/relationships/hyperlink" Target="http://kodeks.duckdns.org/document/159100#pr2" TargetMode="External"/><Relationship Id="rIdonx1zpf8yunstzer5x9_h" Type="http://schemas.openxmlformats.org/officeDocument/2006/relationships/hyperlink" Target="http://kodeks.duckdns.org/document/159100#pr3" TargetMode="External"/><Relationship Id="rIdndjud-cn64j04win1i2ay" Type="http://schemas.openxmlformats.org/officeDocument/2006/relationships/hyperlink" Target="http://kodeks.duckdns.org/document/112340#st_334" TargetMode="External"/><Relationship Id="rIdl7ujvy8dvqg7d__nha50s" Type="http://schemas.openxmlformats.org/officeDocument/2006/relationships/hyperlink" Target="http://kodeks.duckdns.org/document/230003746" TargetMode="External"/><Relationship Id="rIdgpqkaoven2zmxhdgsqdjm" Type="http://schemas.openxmlformats.org/officeDocument/2006/relationships/hyperlink" Target="http://kodeks.duckdns.org/document/230013025" TargetMode="External"/><Relationship Id="rIdfjtqgruxily8d25rlijop" Type="http://schemas.openxmlformats.org/officeDocument/2006/relationships/hyperlink" Target="http://kodeks.duckdns.org/document/230037949" TargetMode="External"/><Relationship Id="rIdiej-liqupo1anrdsbugwf" Type="http://schemas.openxmlformats.org/officeDocument/2006/relationships/hyperlink" Target="http://kodeks.duckdns.org/document/230030441" TargetMode="External"/><Relationship Id="rIdorbhugizjdmw3cjoerjqy" Type="http://schemas.openxmlformats.org/officeDocument/2006/relationships/hyperlink" Target="http://kodeks.duckdns.org/document/230037927" TargetMode="External"/><Relationship Id="rIdvwaopi8kgpiw6adyo3x9e" Type="http://schemas.openxmlformats.org/officeDocument/2006/relationships/hyperlink" Target="http://kodeks.duckdns.org/document/1801" TargetMode="External"/><Relationship Id="rIdhhf8u6uj3jhpk4cr_dth6" Type="http://schemas.openxmlformats.org/officeDocument/2006/relationships/hyperlink" Target="http://kodeks.duckdns.org/document/159962" TargetMode="External"/><Relationship Id="rIdnjz0finewugrnkz0r0mh7" Type="http://schemas.openxmlformats.org/officeDocument/2006/relationships/hyperlink" Target="http://kodeks.duckdns.org/document/230003746" TargetMode="External"/><Relationship Id="rIdaju8e8-eg4z78yhmcvbvj" Type="http://schemas.openxmlformats.org/officeDocument/2006/relationships/hyperlink" Target="http://kodeks.duckdns.org/document/230037927" TargetMode="External"/><Relationship Id="rIdr2n8tzowyebkrxd6mionj" Type="http://schemas.openxmlformats.org/officeDocument/2006/relationships/hyperlink" Target="http://kodeks.duckdns.org/document/160011" TargetMode="External"/><Relationship Id="rIdkontezy5tmxbufqgcax9v" Type="http://schemas.openxmlformats.org/officeDocument/2006/relationships/hyperlink" Target="http://kodeks.duckdns.org/document/230026907" TargetMode="External"/><Relationship Id="rIdqrzd1gcyvca9hl6apzb0s" Type="http://schemas.openxmlformats.org/officeDocument/2006/relationships/hyperlink" Target="http://kodeks.duckdns.org/document/159962" TargetMode="External"/><Relationship Id="rIdomymzdxt-tyz0bhxils18" Type="http://schemas.openxmlformats.org/officeDocument/2006/relationships/hyperlink" Target="http://kodeks.duckdns.org/document/230003746" TargetMode="External"/><Relationship Id="rIdfq1iqajgkbosuqwgwlfb6" Type="http://schemas.openxmlformats.org/officeDocument/2006/relationships/hyperlink" Target="http://kodeks.duckdns.org/document/230009431" TargetMode="External"/><Relationship Id="rIdplzntzdxu934o9dnuhmcp" Type="http://schemas.openxmlformats.org/officeDocument/2006/relationships/hyperlink" Target="http://kodeks.duckdns.org/document/230037927" TargetMode="External"/><Relationship Id="rId66mbajworscrdfknf54w2" Type="http://schemas.openxmlformats.org/officeDocument/2006/relationships/hyperlink" Target="http://kodeks.duckdns.org/document/230009431" TargetMode="External"/><Relationship Id="rIduf2tzlmchmbiwjy0t8uux" Type="http://schemas.openxmlformats.org/officeDocument/2006/relationships/hyperlink" Target="http://kodeks.duckdns.org/document/159962" TargetMode="External"/><Relationship Id="rIdxyeimbvc0wgqo-jumdfnu" Type="http://schemas.openxmlformats.org/officeDocument/2006/relationships/hyperlink" Target="http://kodeks.duckdns.org/document/230003746" TargetMode="External"/><Relationship Id="rIdevvpdnvcmzv60hym7sx2d" Type="http://schemas.openxmlformats.org/officeDocument/2006/relationships/hyperlink" Target="http://kodeks.duckdns.org/document/230009431" TargetMode="External"/><Relationship Id="rIdauu1jvlac2me--qewg3yg" Type="http://schemas.openxmlformats.org/officeDocument/2006/relationships/hyperlink" Target="http://kodeks.duckdns.org/document/230037927" TargetMode="External"/><Relationship Id="rId1ekt_lkvwrarttouf9_sq" Type="http://schemas.openxmlformats.org/officeDocument/2006/relationships/hyperlink" Target="http://kodeks.duckdns.org/document/159962" TargetMode="External"/><Relationship Id="rIdza4112bki8jnjhrfpzxc6" Type="http://schemas.openxmlformats.org/officeDocument/2006/relationships/hyperlink" Target="http://kodeks.duckdns.org/document/230009431" TargetMode="External"/><Relationship Id="rIdxqmdufycmwazgpnpxnmbg" Type="http://schemas.openxmlformats.org/officeDocument/2006/relationships/hyperlink" Target="http://kodeks.duckdns.org/document/230037927" TargetMode="External"/><Relationship Id="rIdrs1cqhjl9pya9y1-h8w5b" Type="http://schemas.openxmlformats.org/officeDocument/2006/relationships/hyperlink" Target="http://kodeks.duckdns.org/document/159962" TargetMode="External"/><Relationship Id="rIdkn8jg-b_ia1m5ivk0myee" Type="http://schemas.openxmlformats.org/officeDocument/2006/relationships/hyperlink" Target="http://kodeks.duckdns.org/document/230009431" TargetMode="External"/><Relationship Id="rId3dcexroz5ekmurz-wf04b" Type="http://schemas.openxmlformats.org/officeDocument/2006/relationships/hyperlink" Target="http://kodeks.duckdns.org/document/230037927" TargetMode="External"/><Relationship Id="rIdqcobjh7mk1ycnrxkowqii" Type="http://schemas.openxmlformats.org/officeDocument/2006/relationships/hyperlink" Target="http://kodeks.duckdns.org/document/159962" TargetMode="External"/><Relationship Id="rIdfuaeh3e23rdu3pk5mjbpc" Type="http://schemas.openxmlformats.org/officeDocument/2006/relationships/hyperlink" Target="http://kodeks.duckdns.org/document/230009431" TargetMode="External"/><Relationship Id="rIdaggjswr7-nj_xzvdxflry" Type="http://schemas.openxmlformats.org/officeDocument/2006/relationships/hyperlink" Target="http://kodeks.duckdns.org/document/230037927" TargetMode="External"/><Relationship Id="rIdubsepkn30rxkuf1mpqopg" Type="http://schemas.openxmlformats.org/officeDocument/2006/relationships/hyperlink" Target="http://kodeks.duckdns.org/document/230009431" TargetMode="External"/><Relationship Id="rIdnvvfj6c7hntomkri3t8oj" Type="http://schemas.openxmlformats.org/officeDocument/2006/relationships/hyperlink" Target="http://kodeks.duckdns.org/document/159962" TargetMode="External"/><Relationship Id="rIdqnffms7wt5wo254mfkoan" Type="http://schemas.openxmlformats.org/officeDocument/2006/relationships/hyperlink" Target="http://kodeks.duckdns.org/document/230003746" TargetMode="External"/><Relationship Id="rIdljxnoal_7bahqzebz5bbj" Type="http://schemas.openxmlformats.org/officeDocument/2006/relationships/hyperlink" Target="http://kodeks.duckdns.org/document/230009431" TargetMode="External"/><Relationship Id="rIdj7xudrhvmpfnozy4xqseq" Type="http://schemas.openxmlformats.org/officeDocument/2006/relationships/hyperlink" Target="http://kodeks.duckdns.org/document/230037927" TargetMode="External"/><Relationship Id="rIdku3a2drvgj0xukyxtvxza" Type="http://schemas.openxmlformats.org/officeDocument/2006/relationships/hyperlink" Target="http://kodeks.duckdns.org/document/230003746" TargetMode="External"/><Relationship Id="rIdc8-cc00kn3kkqia0e4rlf" Type="http://schemas.openxmlformats.org/officeDocument/2006/relationships/hyperlink" Target="http://kodeks.duckdns.org/document/230009431" TargetMode="External"/><Relationship Id="rIdlukq0fzbrhu_s_vbhxtrm" Type="http://schemas.openxmlformats.org/officeDocument/2006/relationships/hyperlink" Target="http://kodeks.duckdns.org/document/230037927" TargetMode="External"/><Relationship Id="rIdqi24qc3rwfbxlk_qoq6xn" Type="http://schemas.openxmlformats.org/officeDocument/2006/relationships/hyperlink" Target="http://kodeks.duckdns.org/document/159962" TargetMode="External"/><Relationship Id="rIdmmldgd3nn0akvhyjrdso9" Type="http://schemas.openxmlformats.org/officeDocument/2006/relationships/hyperlink" Target="http://kodeks.duckdns.org/document/230003746" TargetMode="External"/><Relationship Id="rId2dah3jbudygzq4dcyy9ib" Type="http://schemas.openxmlformats.org/officeDocument/2006/relationships/hyperlink" Target="http://kodeks.duckdns.org/document/230009431" TargetMode="External"/><Relationship Id="rIdzteyoucc8hjut1fbmj8x0" Type="http://schemas.openxmlformats.org/officeDocument/2006/relationships/hyperlink" Target="http://kodeks.duckdns.org/document/230037927" TargetMode="External"/><Relationship Id="rIdgqbz6uoqkwebr2ak0bx6q" Type="http://schemas.openxmlformats.org/officeDocument/2006/relationships/hyperlink" Target="http://kodeks.duckdns.org/document/230003746" TargetMode="External"/><Relationship Id="rId6ljr2suwfzdoi4omsbt58" Type="http://schemas.openxmlformats.org/officeDocument/2006/relationships/hyperlink" Target="http://kodeks.duckdns.org/document/159962" TargetMode="External"/><Relationship Id="rIdzvj-ciam4tahenvji9jbg" Type="http://schemas.openxmlformats.org/officeDocument/2006/relationships/hyperlink" Target="http://kodeks.duckdns.org/document/230037927" TargetMode="External"/><Relationship Id="rId7" Type="http://schemas.openxmlformats.org/officeDocument/2006/relationships/image" Target="media/93bec1c1538034512fe33c1434ae0ea86b639d33.png"/><Relationship Id="rId7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2026-09-23T14:51:23.553Z</dcterms:created>
  <dcterms:modified xsi:type="dcterms:W3CDTF">2026-09-23T14:51:23.553Z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