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w:t>
      </w:r>
    </w:p>
    <w:p>
      <w:pPr>
        <w:spacing w:after="360"/>
        <w:ind w:firstLine="397"/>
        <w:jc w:val="center"/>
      </w:pPr>
      <w:r>
        <w:rPr>
          <w:rFonts w:ascii="Arial" w:cs="Arial" w:eastAsia="Arial" w:hAnsi="Arial"/>
          <w:i/>
          <w:iCs/>
          <w:sz w:val="24"/>
          <w:szCs w:val="24"/>
        </w:rPr>
        <w:t xml:space="preserve">в соответствии с </w:t>
      </w:r>
      <w:hyperlink w:history="1" r:id="rId7db986-f-xxecdom01m1p">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12 июня 2024 года № 304</w:t>
      </w:r>
    </w:p>
    <w:p>
      <w:pPr>
        <w:spacing w:after="360"/>
        <w:ind w:firstLine="397"/>
        <w:jc w:val="center"/>
      </w:pPr>
      <w:r>
        <w:rPr>
          <w:rFonts w:ascii="Arial" w:cs="Arial" w:eastAsia="Arial" w:hAnsi="Arial"/>
          <w:sz w:val="24"/>
          <w:szCs w:val="24"/>
        </w:rPr>
        <w:t xml:space="preserve"/>
      </w:r>
    </w:p>
    <w:p>
      <w:pPr>
        <w:spacing w:after="360" w:before="200"/>
        <w:ind w:firstLine="397"/>
        <w:jc w:val="center"/>
      </w:pPr>
      <w:r>
        <w:rPr>
          <w:rFonts w:ascii="Arial" w:cs="Arial" w:eastAsia="Arial" w:hAnsi="Arial"/>
          <w:b/>
          <w:bCs/>
          <w:sz w:val="32"/>
          <w:szCs w:val="32"/>
        </w:rPr>
        <w:t xml:space="preserve">ПОСТАНОВЛЕНИЕ КАБИНЕТА МИНИСТРОВ КЫРГЫЗСКОЙ РЕСПУБЛИКИ</w:t>
      </w:r>
    </w:p>
    <w:p>
      <w:pPr>
        <w:spacing w:after="200" w:before="200"/>
        <w:jc w:val="both"/>
      </w:pPr>
      <w:r>
        <w:rPr>
          <w:rFonts w:ascii="Arial" w:cs="Arial" w:eastAsia="Arial" w:hAnsi="Arial"/>
          <w:sz w:val="24"/>
          <w:szCs w:val="24"/>
        </w:rPr>
        <w:t xml:space="preserve">от </w:t>
      </w:r>
      <w:r>
        <w:rPr>
          <w:rFonts w:ascii="Arial" w:cs="Arial" w:eastAsia="Arial" w:hAnsi="Arial"/>
          <w:sz w:val="24"/>
          <w:szCs w:val="24"/>
        </w:rPr>
        <w:t xml:space="preserve">14 апреля</w:t>
      </w:r>
      <w:r>
        <w:rPr>
          <w:rFonts w:ascii="Arial" w:cs="Arial" w:eastAsia="Arial" w:hAnsi="Arial"/>
          <w:sz w:val="24"/>
          <w:szCs w:val="24"/>
        </w:rPr>
        <w:t xml:space="preserve"> 2022 года № </w:t>
      </w:r>
      <w:r>
        <w:rPr>
          <w:rFonts w:ascii="Arial" w:cs="Arial" w:eastAsia="Arial" w:hAnsi="Arial"/>
          <w:sz w:val="24"/>
          <w:szCs w:val="24"/>
        </w:rPr>
        <w:t xml:space="preserve">215</w:t>
      </w:r>
    </w:p>
    <w:p>
      <w:pPr>
        <w:spacing w:after="400" w:before="400"/>
        <w:jc w:val="center"/>
      </w:pPr>
      <w:r>
        <w:rPr>
          <w:rFonts w:ascii="Arial" w:cs="Arial" w:eastAsia="Arial" w:hAnsi="Arial"/>
          <w:b/>
          <w:bCs/>
          <w:sz w:val="28"/>
          <w:szCs w:val="28"/>
        </w:rPr>
        <w:t xml:space="preserve">О внесении изменений в некоторые решения Правительства Кыргызской Республики по вопросам перечня государственных услуг и стандартов государственных услуг</w:t>
      </w:r>
    </w:p>
    <w:p>
      <w:pPr>
        <w:spacing w:after="60"/>
        <w:ind w:firstLine="567"/>
        <w:jc w:val="both"/>
      </w:pPr>
      <w:r>
        <w:rPr>
          <w:rFonts w:ascii="Arial" w:cs="Arial" w:eastAsia="Arial" w:hAnsi="Arial"/>
          <w:sz w:val="24"/>
          <w:szCs w:val="24"/>
        </w:rPr>
        <w:t xml:space="preserve">В целях реализации задач по повышению качества и доступности государственных услуг, оказываемых гражданам и юридическим лицам, в соответствии с </w:t>
      </w:r>
      <w:hyperlink w:history="1" r:id="rIdznjevlgyqjpvoyigubxnn">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государственных и муниципальных услугах", </w:t>
      </w:r>
      <w:hyperlink w:history="1" r:id="rIdbzsyrtjfzjd_mlk7noqw_">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 неотложных мерах по активизации внедрения цифровых технологий в государственное управление Кыргызской Республики" от 17 декабря 2020 года № 64, статьями </w:t>
      </w:r>
      <w:hyperlink w:history="1" r:id="rIdanisxfcb0matkcopbmxef">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qvg9heoe7rgy7hqnrcmz3">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Кабинет Министров Кыргызской Республики постановляет:</w:t>
      </w:r>
    </w:p>
    <w:p>
      <w:pPr>
        <w:spacing w:after="60"/>
        <w:ind w:firstLine="567"/>
        <w:jc w:val="both"/>
      </w:pPr>
      <w:r>
        <w:rPr>
          <w:rFonts w:ascii="Arial" w:cs="Arial" w:eastAsia="Arial" w:hAnsi="Arial"/>
          <w:sz w:val="24"/>
          <w:szCs w:val="24"/>
        </w:rPr>
        <w:t xml:space="preserve">1. Внести в </w:t>
      </w:r>
      <w:hyperlink w:history="1" r:id="rIdaebzkyw1_kw7whlvjoi-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Единого реестра (перечня) государственных услуг, оказываемых государственными органами, их структурными подразделениями и подведомственными учреждениями" от 10 февраля 2012 года № 85 следующие изменения:</w:t>
      </w:r>
    </w:p>
    <w:p>
      <w:pPr>
        <w:spacing w:after="60"/>
        <w:ind w:firstLine="567"/>
        <w:jc w:val="both"/>
      </w:pPr>
      <w:r>
        <w:rPr>
          <w:rFonts w:ascii="Arial" w:cs="Arial" w:eastAsia="Arial" w:hAnsi="Arial"/>
          <w:sz w:val="24"/>
          <w:szCs w:val="24"/>
        </w:rPr>
        <w:t xml:space="preserve">В</w:t>
      </w:r>
      <w:r>
        <w:rPr>
          <w:rFonts w:ascii="Arial" w:cs="Arial" w:eastAsia="Arial" w:hAnsi="Arial"/>
          <w:sz w:val="24"/>
          <w:szCs w:val="24"/>
        </w:rPr>
        <w:t xml:space="preserve"> Единном реестре</w:t>
      </w:r>
      <w:r>
        <w:rPr>
          <w:rFonts w:ascii="Arial" w:cs="Arial" w:eastAsia="Arial" w:hAnsi="Arial"/>
          <w:sz w:val="24"/>
          <w:szCs w:val="24"/>
        </w:rPr>
        <w:t xml:space="preserve"> (перечне) государственных услуг, оказываемых государственными органами, их структурными подразделениями и подведомственными учреждениями, утвержденном указанным постановлением:</w:t>
      </w:r>
    </w:p>
    <w:p>
      <w:pPr>
        <w:spacing w:after="60"/>
        <w:ind w:firstLine="567"/>
        <w:jc w:val="both"/>
      </w:pPr>
      <w:r>
        <w:rPr>
          <w:rFonts w:ascii="Arial" w:cs="Arial" w:eastAsia="Arial" w:hAnsi="Arial"/>
          <w:sz w:val="24"/>
          <w:szCs w:val="24"/>
        </w:rPr>
        <w:t xml:space="preserve">- в главе 3 "Социальные услуги":</w:t>
      </w:r>
    </w:p>
    <w:p>
      <w:pPr>
        <w:spacing w:after="60"/>
        <w:ind w:firstLine="567"/>
        <w:jc w:val="both"/>
      </w:pPr>
      <w:r>
        <w:rPr>
          <w:rFonts w:ascii="Arial" w:cs="Arial" w:eastAsia="Arial" w:hAnsi="Arial"/>
          <w:sz w:val="24"/>
          <w:szCs w:val="24"/>
        </w:rPr>
        <w:t xml:space="preserve">в пункте 4-1 аббревиатуру "ГСМ" заменить аббревиатурой "МТСОМ";</w:t>
      </w:r>
    </w:p>
    <w:p>
      <w:pPr>
        <w:spacing w:after="60"/>
        <w:ind w:firstLine="567"/>
        <w:jc w:val="both"/>
      </w:pPr>
      <w:r>
        <w:rPr>
          <w:rFonts w:ascii="Arial" w:cs="Arial" w:eastAsia="Arial" w:hAnsi="Arial"/>
          <w:sz w:val="24"/>
          <w:szCs w:val="24"/>
        </w:rPr>
        <w:t xml:space="preserve">пункт 5 изложить в следующей редакции:</w:t>
      </w:r>
    </w:p>
    <w:p>
      <w:pPr>
        <w:spacing w:after="120"/>
        <w:jc w:val="both"/>
      </w:pPr>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6"/>
        <w:gridCol w:w="6992"/>
        <w:gridCol w:w="739"/>
        <w:gridCol w:w="739"/>
        <w:gridCol w:w="1341"/>
      </w:tblGrid>
      <w:tr>
        <w:tc>
          <w:tcPr>
            <w:tcW w:type="dxa" w:w="36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99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Единовременная выплата на покрытие расходов по репатриации тел граждан Кыргызской Республики, умерших за рубежом</w:t>
            </w:r>
          </w:p>
        </w:tc>
        <w:tc>
          <w:tcPr>
            <w:tcW w:type="dxa" w:w="73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МИД</w:t>
            </w:r>
          </w:p>
        </w:tc>
        <w:tc>
          <w:tcPr>
            <w:tcW w:type="dxa" w:w="73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МИД</w:t>
            </w:r>
          </w:p>
        </w:tc>
        <w:tc>
          <w:tcPr>
            <w:tcW w:type="dxa" w:w="134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Бесплатно</w:t>
            </w:r>
          </w:p>
        </w:tc>
      </w:tr>
    </w:tbl>
    <w:p>
      <w:pPr>
        <w:spacing w:after="60" w:before="120"/>
        <w:ind w:firstLine="567"/>
        <w:jc w:val="right"/>
      </w:pP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пункт 7 изложить в следующей редакции:</w:t>
      </w:r>
    </w:p>
    <w:p>
      <w:pPr>
        <w:spacing w:after="120"/>
        <w:jc w:val="both"/>
      </w:pPr>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6"/>
        <w:gridCol w:w="5207"/>
        <w:gridCol w:w="1571"/>
        <w:gridCol w:w="1563"/>
        <w:gridCol w:w="1480"/>
      </w:tblGrid>
      <w:tr>
        <w:tc>
          <w:tcPr>
            <w:tcW w:type="dxa" w:w="35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520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Выдача разрешения на работу</w:t>
            </w:r>
          </w:p>
        </w:tc>
        <w:tc>
          <w:tcPr>
            <w:tcW w:type="dxa" w:w="157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МТСОМ</w:t>
            </w:r>
          </w:p>
        </w:tc>
        <w:tc>
          <w:tcPr>
            <w:tcW w:type="dxa" w:w="156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МТСОМ</w:t>
            </w:r>
          </w:p>
        </w:tc>
        <w:tc>
          <w:tcPr>
            <w:tcW w:type="dxa" w:w="1480"/>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Платно</w:t>
            </w:r>
          </w:p>
        </w:tc>
      </w:tr>
    </w:tbl>
    <w:p>
      <w:pPr>
        <w:spacing w:after="60" w:before="120"/>
        <w:ind w:firstLine="567"/>
        <w:jc w:val="right"/>
      </w:pP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в главе 4 "Услуги регистрации, выдачи справок, удостоверений и других документов, а также их копий и дубликатов":</w:t>
      </w:r>
    </w:p>
    <w:p>
      <w:pPr>
        <w:spacing w:after="60"/>
        <w:ind w:firstLine="567"/>
        <w:jc w:val="both"/>
      </w:pPr>
      <w:r>
        <w:rPr>
          <w:rFonts w:ascii="Arial" w:cs="Arial" w:eastAsia="Arial" w:hAnsi="Arial"/>
          <w:sz w:val="24"/>
          <w:szCs w:val="24"/>
        </w:rPr>
        <w:t xml:space="preserve">в пункте 2 аббревиатуру "ГСМ" заменить аббревиатурой "МТСОМ";</w:t>
      </w:r>
    </w:p>
    <w:p>
      <w:pPr>
        <w:spacing w:after="60"/>
        <w:ind w:firstLine="567"/>
        <w:jc w:val="both"/>
      </w:pPr>
      <w:r>
        <w:rPr>
          <w:rFonts w:ascii="Arial" w:cs="Arial" w:eastAsia="Arial" w:hAnsi="Arial"/>
          <w:sz w:val="24"/>
          <w:szCs w:val="24"/>
        </w:rPr>
        <w:t xml:space="preserve">пункт 66 изложить в следующей редакции:</w:t>
      </w:r>
    </w:p>
    <w:p>
      <w:pPr>
        <w:spacing w:after="120"/>
        <w:jc w:val="both"/>
      </w:pPr>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6"/>
        <w:gridCol w:w="7355"/>
        <w:gridCol w:w="731"/>
        <w:gridCol w:w="731"/>
        <w:gridCol w:w="1006"/>
      </w:tblGrid>
      <w:tr>
        <w:tc>
          <w:tcPr>
            <w:tcW w:type="dxa" w:w="35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66</w:t>
            </w:r>
          </w:p>
        </w:tc>
        <w:tc>
          <w:tcPr>
            <w:tcW w:type="dxa" w:w="735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Выдача дубликата рыболовных билетов, промыслового журнала на добычу рыбы в рыбохозяйственных водоемах и их участках, реках, паспорта водоема, паспорта рыбного хозяйства</w:t>
            </w:r>
          </w:p>
        </w:tc>
        <w:tc>
          <w:tcPr>
            <w:tcW w:type="dxa" w:w="73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МСХ</w:t>
            </w:r>
          </w:p>
        </w:tc>
        <w:tc>
          <w:tcPr>
            <w:tcW w:type="dxa" w:w="73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МСХ</w:t>
            </w:r>
          </w:p>
        </w:tc>
        <w:tc>
          <w:tcPr>
            <w:tcW w:type="dxa" w:w="100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Платно</w:t>
            </w:r>
          </w:p>
        </w:tc>
      </w:tr>
    </w:tbl>
    <w:p>
      <w:pPr>
        <w:spacing w:after="60" w:before="120"/>
        <w:ind w:firstLine="567"/>
        <w:jc w:val="right"/>
      </w:pP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пункты 90, 91 изложить в следующей редакции:</w:t>
      </w:r>
    </w:p>
    <w:p>
      <w:pPr>
        <w:spacing w:after="120"/>
        <w:jc w:val="both"/>
      </w:pPr>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6"/>
        <w:gridCol w:w="6620"/>
        <w:gridCol w:w="930"/>
        <w:gridCol w:w="930"/>
        <w:gridCol w:w="1341"/>
      </w:tblGrid>
      <w:tr>
        <w:tc>
          <w:tcPr>
            <w:tcW w:type="dxa" w:w="35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90</w:t>
            </w:r>
          </w:p>
        </w:tc>
        <w:tc>
          <w:tcPr>
            <w:tcW w:type="dxa" w:w="662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Оформление и выдача полиса обязательного медицинского страхования для лиц, самостоятельно уплачивающих взносы на обязательное медицинское страхование</w:t>
            </w:r>
          </w:p>
        </w:tc>
        <w:tc>
          <w:tcPr>
            <w:tcW w:type="dxa" w:w="930"/>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ФОМС</w:t>
            </w:r>
          </w:p>
        </w:tc>
        <w:tc>
          <w:tcPr>
            <w:tcW w:type="dxa" w:w="930"/>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ФОМС</w:t>
            </w:r>
          </w:p>
        </w:tc>
        <w:tc>
          <w:tcPr>
            <w:tcW w:type="dxa" w:w="134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Бесплатно</w:t>
            </w:r>
          </w:p>
        </w:tc>
      </w:tr>
      <w:tr>
        <w:tc>
          <w:tcPr>
            <w:tcW w:type="dxa" w:w="35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91</w:t>
            </w:r>
          </w:p>
        </w:tc>
        <w:tc>
          <w:tcPr>
            <w:tcW w:type="dxa" w:w="6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Выдача сертификатов соответствия/регистрация деклараций о соответствии на пищевую продукцию, на товары народного потребления, горюче-смазочные материалы, машиностроительную, электротехническую продукцию, подлежащую обязательному подтверждению соответствия, безопасную для жизни и здоровья людей, животных и растений, окружающей среды, по заявкам и договорам</w:t>
            </w:r>
          </w:p>
        </w:tc>
        <w:tc>
          <w:tcPr>
            <w:tcW w:type="dxa" w:w="9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МЭК</w:t>
            </w:r>
          </w:p>
        </w:tc>
        <w:tc>
          <w:tcPr>
            <w:tcW w:type="dxa" w:w="9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МЭК</w:t>
            </w:r>
          </w:p>
        </w:tc>
        <w:tc>
          <w:tcPr>
            <w:tcW w:type="dxa" w:w="13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Платно</w:t>
            </w:r>
          </w:p>
        </w:tc>
      </w:tr>
    </w:tbl>
    <w:p>
      <w:pPr>
        <w:spacing w:after="60" w:before="120"/>
        <w:ind w:firstLine="567"/>
        <w:jc w:val="right"/>
      </w:pP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в главе 6 "Предоставление информации":</w:t>
      </w:r>
    </w:p>
    <w:p>
      <w:pPr>
        <w:spacing w:after="60"/>
        <w:ind w:firstLine="567"/>
        <w:jc w:val="both"/>
      </w:pPr>
      <w:r>
        <w:rPr>
          <w:rFonts w:ascii="Arial" w:cs="Arial" w:eastAsia="Arial" w:hAnsi="Arial"/>
          <w:sz w:val="24"/>
          <w:szCs w:val="24"/>
        </w:rPr>
        <w:t xml:space="preserve">пункты 34, 35 изложить в следующей редакции:</w:t>
      </w:r>
    </w:p>
    <w:p>
      <w:pPr>
        <w:spacing w:after="120"/>
        <w:jc w:val="both"/>
      </w:pPr>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6"/>
        <w:gridCol w:w="7355"/>
        <w:gridCol w:w="731"/>
        <w:gridCol w:w="731"/>
        <w:gridCol w:w="1006"/>
      </w:tblGrid>
      <w:tr>
        <w:tc>
          <w:tcPr>
            <w:tcW w:type="dxa" w:w="35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735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информации для проведения любительского и спортивного рыболовства в реках, водоемах и их участках</w:t>
            </w:r>
          </w:p>
        </w:tc>
        <w:tc>
          <w:tcPr>
            <w:tcW w:type="dxa" w:w="73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МСХ</w:t>
            </w:r>
          </w:p>
        </w:tc>
        <w:tc>
          <w:tcPr>
            <w:tcW w:type="dxa" w:w="73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МСХ</w:t>
            </w:r>
          </w:p>
        </w:tc>
        <w:tc>
          <w:tcPr>
            <w:tcW w:type="dxa" w:w="100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Платно</w:t>
            </w:r>
          </w:p>
        </w:tc>
      </w:tr>
      <w:tr>
        <w:tc>
          <w:tcPr>
            <w:tcW w:type="dxa" w:w="35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73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Подготовка пакета документов для организации и ведения аквакультуры (прудовой, бассейновой, садковой, пастбищной, рекреационной)</w:t>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МСХ</w:t>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МСХ</w:t>
            </w:r>
          </w:p>
        </w:tc>
        <w:tc>
          <w:tcPr>
            <w:tcW w:type="dxa" w:w="10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Платно</w:t>
            </w:r>
          </w:p>
        </w:tc>
      </w:tr>
    </w:tbl>
    <w:p>
      <w:pPr>
        <w:spacing w:after="60" w:before="120"/>
        <w:ind w:firstLine="567"/>
        <w:jc w:val="right"/>
      </w:pP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пункт 6 главы 7 "Услуги печати, копирования и издания" признать утратившим силу;</w:t>
      </w:r>
    </w:p>
    <w:p>
      <w:pPr>
        <w:spacing w:after="60"/>
        <w:ind w:firstLine="567"/>
        <w:jc w:val="both"/>
      </w:pPr>
      <w:r>
        <w:rPr>
          <w:rFonts w:ascii="Arial" w:cs="Arial" w:eastAsia="Arial" w:hAnsi="Arial"/>
          <w:sz w:val="24"/>
          <w:szCs w:val="24"/>
        </w:rPr>
        <w:t xml:space="preserve">- пункт 7 главы 9 "Другие услуги" изложить в следующей редакции:</w:t>
      </w:r>
    </w:p>
    <w:p>
      <w:pPr>
        <w:spacing w:after="120"/>
        <w:jc w:val="both"/>
      </w:pPr>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6"/>
        <w:gridCol w:w="7344"/>
        <w:gridCol w:w="731"/>
        <w:gridCol w:w="731"/>
        <w:gridCol w:w="1006"/>
      </w:tblGrid>
      <w:tr>
        <w:tc>
          <w:tcPr>
            <w:tcW w:type="dxa" w:w="36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734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Выдача паспорта водоема, паспорта рыбного хозяйства для организации и ведения прудовой, бассейновой, садковой, пастбищной, рекреационной аквакультуры</w:t>
            </w:r>
          </w:p>
        </w:tc>
        <w:tc>
          <w:tcPr>
            <w:tcW w:type="dxa" w:w="73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МСХ</w:t>
            </w:r>
          </w:p>
        </w:tc>
        <w:tc>
          <w:tcPr>
            <w:tcW w:type="dxa" w:w="73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МСХ</w:t>
            </w:r>
          </w:p>
        </w:tc>
        <w:tc>
          <w:tcPr>
            <w:tcW w:type="dxa" w:w="100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Платно</w:t>
            </w:r>
          </w:p>
        </w:tc>
      </w:tr>
    </w:tbl>
    <w:p>
      <w:pPr>
        <w:spacing w:after="60" w:before="120"/>
        <w:ind w:firstLine="567"/>
        <w:jc w:val="right"/>
      </w:pP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 Внести в </w:t>
      </w:r>
      <w:hyperlink w:history="1" r:id="rIdt4xkqvj4utmjwxlybqph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hyperlink w:history="1" r:id="rIdh2yhesvv3jpzks9dkn545">
        <w:r>
          <w:rPr>
            <w:rFonts w:ascii="Arial" w:cs="Arial" w:eastAsia="Arial" w:hAnsi="Arial"/>
            <w:color w:val="1D4ED8"/>
            <w:sz w:val="24"/>
            <w:szCs w:val="24"/>
            <w:u w:val="single"/>
          </w:rPr>
          <w:t xml:space="preserve">стандартов</w:t>
        </w:r>
      </w:hyperlink>
      <w:r>
        <w:rPr>
          <w:rFonts w:ascii="Arial" w:cs="Arial" w:eastAsia="Arial" w:hAnsi="Arial"/>
          <w:sz w:val="24"/>
          <w:szCs w:val="24"/>
        </w:rPr>
        <w:t xml:space="preserve"> государственных услуг, оказываемых физическим и юридическим лицам государственными органами, их структурными подразделениями и подведомственными учреждениями" от 3 июня 2014 года № 303 изменение согласно</w:t>
      </w:r>
      <w:r>
        <w:rPr>
          <w:rFonts w:ascii="Arial" w:cs="Arial" w:eastAsia="Arial" w:hAnsi="Arial"/>
          <w:sz w:val="24"/>
          <w:szCs w:val="24"/>
        </w:rPr>
        <w:t xml:space="preserve"> приложению</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3. Настоящее постановление вступает в силу по истечении пятнадцати дней со дня официального опубликования.</w:t>
      </w:r>
    </w:p>
    <w:p>
      <w:pPr>
        <w:spacing w:after="60"/>
        <w:ind w:firstLine="567"/>
        <w:jc w:val="both"/>
      </w:pPr>
      <w:r>
        <w:rPr>
          <w:rFonts w:ascii="Arial" w:cs="Arial" w:eastAsia="Arial" w:hAnsi="Arial"/>
          <w:i/>
          <w:iCs/>
          <w:sz w:val="24"/>
          <w:szCs w:val="24"/>
        </w:rPr>
        <w:t xml:space="preserve">Опубликован в газете "Эркин Тоо" от 13 мая 2022 года N 42-43</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Кабинета Министров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А.Жапаров</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400" w:before="400"/>
        <w:jc w:val="center"/>
      </w:pPr>
      <w:r>
        <w:rPr>
          <w:rFonts w:ascii="Arial" w:cs="Arial" w:eastAsia="Arial" w:hAnsi="Arial"/>
          <w:b/>
          <w:bCs/>
          <w:sz w:val="32"/>
          <w:szCs w:val="32"/>
        </w:rPr>
        <w:t xml:space="preserve">ИЗМЕНЕНИЕ
 в постановление Правительства Кыргызской Республики "Об утверждении стандартов государственных услуг, оказываемых физическим и юридическим лицам государственными органами, их структурными подразделениями и подведомственными учреждениями" от 3 июня 2014 года № 303</w:t>
      </w:r>
    </w:p>
    <w:p>
      <w:pPr>
        <w:spacing w:after="60"/>
        <w:ind w:firstLine="567"/>
        <w:jc w:val="both"/>
      </w:pPr>
      <w:r>
        <w:rPr>
          <w:rFonts w:ascii="Arial" w:cs="Arial" w:eastAsia="Arial" w:hAnsi="Arial"/>
          <w:sz w:val="24"/>
          <w:szCs w:val="24"/>
        </w:rPr>
        <w:t xml:space="preserve">В </w:t>
      </w:r>
      <w:hyperlink w:history="1" r:id="rIdsmdlqxtwsjvlomrxcvfmm">
        <w:r>
          <w:rPr>
            <w:rFonts w:ascii="Arial" w:cs="Arial" w:eastAsia="Arial" w:hAnsi="Arial"/>
            <w:color w:val="1D4ED8"/>
            <w:sz w:val="24"/>
            <w:szCs w:val="24"/>
            <w:u w:val="single"/>
          </w:rPr>
          <w:t xml:space="preserve">стандартах</w:t>
        </w:r>
      </w:hyperlink>
      <w:r>
        <w:rPr>
          <w:rFonts w:ascii="Arial" w:cs="Arial" w:eastAsia="Arial" w:hAnsi="Arial"/>
          <w:sz w:val="24"/>
          <w:szCs w:val="24"/>
        </w:rPr>
        <w:t xml:space="preserve">государственных услуг, оказываемых физическим и юридическим лицам государственными органами, их структурными подразделениями и подведомственными учреждениями, утвержденных </w:t>
      </w:r>
      <w:hyperlink w:history="1" r:id="rIdpwl08nkrnzq0trgiuzd30">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 июня 2014 года № 303:</w:t>
      </w:r>
    </w:p>
    <w:p>
      <w:pPr>
        <w:spacing w:after="60"/>
        <w:ind w:firstLine="567"/>
        <w:jc w:val="both"/>
      </w:pPr>
      <w:r>
        <w:rPr>
          <w:rFonts w:ascii="Arial" w:cs="Arial" w:eastAsia="Arial" w:hAnsi="Arial"/>
          <w:sz w:val="24"/>
          <w:szCs w:val="24"/>
        </w:rPr>
        <w:t xml:space="preserve">- главу 10 </w:t>
      </w:r>
      <w:hyperlink w:history="1" r:id="rIdvp04igmk9gs8af8t9xokn">
        <w:r>
          <w:rPr>
            <w:rFonts w:ascii="Arial" w:cs="Arial" w:eastAsia="Arial" w:hAnsi="Arial"/>
            <w:color w:val="1D4ED8"/>
            <w:sz w:val="24"/>
            <w:szCs w:val="24"/>
            <w:u w:val="single"/>
          </w:rPr>
          <w:t xml:space="preserve">раздела </w:t>
        </w:r>
        <w:r>
          <w:rPr>
            <w:rFonts w:ascii="Arial" w:cs="Arial" w:eastAsia="Arial" w:hAnsi="Arial"/>
            <w:color w:val="1D4ED8"/>
            <w:sz w:val="24"/>
            <w:szCs w:val="24"/>
            <w:u w:val="single"/>
          </w:rPr>
          <w:t xml:space="preserve">IV</w:t>
        </w:r>
      </w:hyperlink>
      <w:r>
        <w:rPr>
          <w:rFonts w:ascii="Arial" w:cs="Arial" w:eastAsia="Arial" w:hAnsi="Arial"/>
          <w:sz w:val="24"/>
          <w:szCs w:val="24"/>
        </w:rPr>
        <w:t xml:space="preserve">"В области исследований, анализа, оценки и экспертизы" изложить в следующей редакции:</w:t>
      </w:r>
    </w:p>
    <w:p>
      <w:pPr>
        <w:spacing w:after="120"/>
        <w:jc w:val="both"/>
      </w:pPr>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Выдача сертификатов соответствия/регистрация деклараций о соответствии на пищевую продукцию, товары народного потребления, горюче-смазочные материалы, машиностроительную, электротехническую продукцию, подлежащую обязательному подтверждению соответствия, безопасную для жизни и здоровья людей, животных и растений, окружающей среды, по заявкам и договорам - глава 4, пункт 91 Единого реестра (перечня)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Уполномоченный орган исполнительной власти, осуществляющий функции по разработке и реализации государственной политики в области технического регулирования и метрологии (далее - уполномоченный государственный орган в области технического регулирования и метрологии). Территориальные подразделения уполномоченного органа по стандартизации и метрологии (далее - национальный орган по стандартизации и метрологии)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Получатели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Юридические и физические лица</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Закон Кыргызской Республики "Об основах технического регулирования в Кыргызской Республике" (статьи </w:t>
            </w:r>
            <w:hyperlink w:history="1" r:id="rIdto0dsuiasuch5hywwvuou">
              <w:r>
                <w:rPr>
                  <w:rFonts w:ascii="Arial" w:cs="Arial" w:eastAsia="Arial" w:hAnsi="Arial"/>
                  <w:color w:val="1D4ED8"/>
                  <w:sz w:val="24"/>
                  <w:szCs w:val="24"/>
                  <w:u w:val="single"/>
                </w:rPr>
                <w:t xml:space="preserve">25</w:t>
              </w:r>
            </w:hyperlink>
            <w:r>
              <w:rPr>
                <w:rFonts w:ascii="Arial" w:cs="Arial" w:eastAsia="Arial" w:hAnsi="Arial"/>
                <w:sz w:val="24"/>
                <w:szCs w:val="24"/>
              </w:rPr>
              <w:t xml:space="preserve">, </w:t>
            </w:r>
            <w:hyperlink w:history="1" r:id="rIde3r8xeynyc5rf3o0st_dk">
              <w:r>
                <w:rPr>
                  <w:rFonts w:ascii="Arial" w:cs="Arial" w:eastAsia="Arial" w:hAnsi="Arial"/>
                  <w:color w:val="1D4ED8"/>
                  <w:sz w:val="24"/>
                  <w:szCs w:val="24"/>
                  <w:u w:val="single"/>
                </w:rPr>
                <w:t xml:space="preserve">27</w:t>
              </w:r>
            </w:hyperlink>
            <w:r>
              <w:rPr>
                <w:rFonts w:ascii="Arial" w:cs="Arial" w:eastAsia="Arial" w:hAnsi="Arial"/>
                <w:sz w:val="24"/>
                <w:szCs w:val="24"/>
              </w:rPr>
              <w:t xml:space="preserve">);</w:t>
            </w:r>
          </w:p>
          <w:p>
            <w:pPr>
              <w:jc w:val="left"/>
            </w:pPr>
            <w:hyperlink w:history="1" r:id="rIddfdvc8d6mx4sj1iqpk8c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обязательном подтверждении соответствия продукции" от 30 декабря 2005 года № 639;</w:t>
            </w:r>
          </w:p>
          <w:p>
            <w:pPr>
              <w:jc w:val="left"/>
            </w:pPr>
            <w:hyperlink w:history="1" r:id="rIdbuskisuthyewjcfmg2ks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порядке ввоза для обращения на территории Кыргызской Республики продукции, подлежащей обязательному подтверждению соответствия, и о признании результатов обязательного подтверждения соответствия продукции, полученных за пределами Кыргызской Республики" от 11 января 2006 года № 8;</w:t>
            </w:r>
          </w:p>
          <w:p>
            <w:pPr>
              <w:jc w:val="left"/>
            </w:pPr>
            <w:hyperlink w:history="1" r:id="rIdppep6x90hnls8j9hmgnk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обязательном подтверждении соответствия продукции в форме принятия декларации о соответствии" от 28 января 2019 года № 20;</w:t>
            </w:r>
          </w:p>
          <w:p>
            <w:pPr>
              <w:jc w:val="left"/>
            </w:pPr>
            <w:r>
              <w:rPr>
                <w:rFonts w:ascii="Arial" w:cs="Arial" w:eastAsia="Arial" w:hAnsi="Arial"/>
                <w:sz w:val="24"/>
                <w:szCs w:val="24"/>
              </w:rPr>
              <w:t xml:space="preserve">технические регламенты Кыргызской Республики и ЕАЭС</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Выдача сертификатов соответствия и деклараций о соответствии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предоставлении государственной услуги предусмотрены следующие условия ожидания:</w:t>
            </w:r>
          </w:p>
          <w:p>
            <w:pPr>
              <w:jc w:val="left"/>
            </w:pPr>
            <w:r>
              <w:rPr>
                <w:rFonts w:ascii="Arial" w:cs="Arial" w:eastAsia="Arial" w:hAnsi="Arial"/>
                <w:sz w:val="24"/>
                <w:szCs w:val="24"/>
              </w:rPr>
              <w:t xml:space="preserve">- в помещении, отвечающем установленным санитарным нормам;</w:t>
            </w:r>
          </w:p>
          <w:p>
            <w:pPr>
              <w:jc w:val="left"/>
            </w:pPr>
            <w:r>
              <w:rPr>
                <w:rFonts w:ascii="Arial" w:cs="Arial" w:eastAsia="Arial" w:hAnsi="Arial"/>
                <w:sz w:val="24"/>
                <w:szCs w:val="24"/>
              </w:rPr>
              <w:t xml:space="preserve">- при наличии беспрепятственного доступа всех заявителей в здание и к санитарно-гигиеническим помещениям (туалетам, умывальным комнатам);</w:t>
            </w:r>
          </w:p>
          <w:p>
            <w:pPr>
              <w:jc w:val="left"/>
            </w:pPr>
            <w:r>
              <w:rPr>
                <w:rFonts w:ascii="Arial" w:cs="Arial" w:eastAsia="Arial" w:hAnsi="Arial"/>
                <w:sz w:val="24"/>
                <w:szCs w:val="24"/>
              </w:rPr>
              <w:t xml:space="preserve">- национальный орган по стандартизации и метрологии располагают местами ожидания, отоплением, водопроводом, телефоном, интернетом;</w:t>
            </w:r>
          </w:p>
          <w:p>
            <w:pPr>
              <w:jc w:val="left"/>
            </w:pPr>
            <w:r>
              <w:rPr>
                <w:rFonts w:ascii="Arial" w:cs="Arial" w:eastAsia="Arial" w:hAnsi="Arial"/>
                <w:sz w:val="24"/>
                <w:szCs w:val="24"/>
              </w:rPr>
              <w:t xml:space="preserve">- по принципу живой очереди;</w:t>
            </w:r>
          </w:p>
          <w:p>
            <w:pPr>
              <w:jc w:val="left"/>
            </w:pPr>
            <w:r>
              <w:rPr>
                <w:rFonts w:ascii="Arial" w:cs="Arial" w:eastAsia="Arial" w:hAnsi="Arial"/>
                <w:sz w:val="24"/>
                <w:szCs w:val="24"/>
              </w:rPr>
              <w:t xml:space="preserve">- для лиц с ограниченными возможностями здоровья (далее - ЛОВЗ) с оборудованием (зданий, помещений) пандусами, поручнями;</w:t>
            </w:r>
          </w:p>
          <w:p>
            <w:pPr>
              <w:jc w:val="left"/>
            </w:pPr>
            <w:r>
              <w:rPr>
                <w:rFonts w:ascii="Arial" w:cs="Arial" w:eastAsia="Arial" w:hAnsi="Arial"/>
                <w:sz w:val="24"/>
                <w:szCs w:val="24"/>
              </w:rPr>
              <w:t xml:space="preserve">- льготные категории граждан (участники и инвалиды Великой Отечественной войны, труженики тыла, ЛОВЗ, беременные женщины и т.д.) обслуживаются вне очереди или сотрудник национального органа по стандартизации и метрологии спускается к ним, если они не могут подняться в помещение для приема заявления или направления.</w:t>
            </w:r>
          </w:p>
          <w:p>
            <w:pPr>
              <w:jc w:val="left"/>
            </w:pPr>
            <w:r>
              <w:rPr>
                <w:rFonts w:ascii="Arial" w:cs="Arial" w:eastAsia="Arial" w:hAnsi="Arial"/>
                <w:sz w:val="24"/>
                <w:szCs w:val="24"/>
              </w:rPr>
              <w:t xml:space="preserve">Для удобства посетителей в предоставлении услуг в национальном органе по стандартизации и метрологии должен иметься перечень образцов заявок, необходимых для получения сертификата/декларации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выдаче сертификатов соответствия/регистрации деклараций о соответствии:</w:t>
            </w:r>
          </w:p>
          <w:p>
            <w:pPr>
              <w:jc w:val="left"/>
            </w:pPr>
            <w:r>
              <w:rPr>
                <w:rFonts w:ascii="Arial" w:cs="Arial" w:eastAsia="Arial" w:hAnsi="Arial"/>
                <w:sz w:val="24"/>
                <w:szCs w:val="24"/>
              </w:rPr>
              <w:t xml:space="preserve">общий срок предоставления услуги составляет от 3 до 7 дней;</w:t>
            </w:r>
          </w:p>
          <w:p>
            <w:pPr>
              <w:jc w:val="left"/>
            </w:pPr>
            <w:r>
              <w:rPr>
                <w:rFonts w:ascii="Arial" w:cs="Arial" w:eastAsia="Arial" w:hAnsi="Arial"/>
                <w:sz w:val="24"/>
                <w:szCs w:val="24"/>
              </w:rPr>
              <w:t xml:space="preserve">ожидание в очереди не более:</w:t>
            </w:r>
          </w:p>
          <w:p>
            <w:pPr>
              <w:jc w:val="left"/>
            </w:pPr>
            <w:r>
              <w:rPr>
                <w:rFonts w:ascii="Arial" w:cs="Arial" w:eastAsia="Arial" w:hAnsi="Arial"/>
                <w:sz w:val="24"/>
                <w:szCs w:val="24"/>
              </w:rPr>
              <w:t xml:space="preserve">- прием заявки и сопроводительных документов согласно п.12 - до 30 минут, через государственный портал электронных услуг (www.portal.tunduk.kg) автоматически;</w:t>
            </w:r>
          </w:p>
          <w:p>
            <w:pPr>
              <w:jc w:val="left"/>
            </w:pPr>
            <w:r>
              <w:rPr>
                <w:rFonts w:ascii="Arial" w:cs="Arial" w:eastAsia="Arial" w:hAnsi="Arial"/>
                <w:sz w:val="24"/>
                <w:szCs w:val="24"/>
              </w:rPr>
              <w:t xml:space="preserve">- оформление уведомления по поданной заявке - до 30 минут;</w:t>
            </w:r>
          </w:p>
          <w:p>
            <w:pPr>
              <w:jc w:val="left"/>
            </w:pPr>
            <w:r>
              <w:rPr>
                <w:rFonts w:ascii="Arial" w:cs="Arial" w:eastAsia="Arial" w:hAnsi="Arial"/>
                <w:sz w:val="24"/>
                <w:szCs w:val="24"/>
              </w:rPr>
              <w:t xml:space="preserve">осмотр и отбор сертифицируемой продукции в части целостности упаковки, наличия реквизитов маркировки, соответствия продукции заявленному количеству - до 2 часов;</w:t>
            </w:r>
          </w:p>
          <w:p>
            <w:pPr>
              <w:jc w:val="left"/>
            </w:pPr>
            <w:r>
              <w:rPr>
                <w:rFonts w:ascii="Arial" w:cs="Arial" w:eastAsia="Arial" w:hAnsi="Arial"/>
                <w:sz w:val="24"/>
                <w:szCs w:val="24"/>
              </w:rPr>
              <w:t xml:space="preserve">анализ состояния производства (если предусмотрено схемой сертификации), оформление акта осмотра или акта состояния производства - до 6 часов;</w:t>
            </w:r>
          </w:p>
          <w:p>
            <w:pPr>
              <w:jc w:val="left"/>
            </w:pPr>
            <w:r>
              <w:rPr>
                <w:rFonts w:ascii="Arial" w:cs="Arial" w:eastAsia="Arial" w:hAnsi="Arial"/>
                <w:sz w:val="24"/>
                <w:szCs w:val="24"/>
              </w:rPr>
              <w:t xml:space="preserve">проведение испытаний продукции (если предусмотрено схемой сертификации) в испытательной лаборатории, оформление протокола испытаний - от 1 до 5 дней;</w:t>
            </w:r>
          </w:p>
          <w:p>
            <w:pPr>
              <w:jc w:val="left"/>
            </w:pPr>
            <w:r>
              <w:rPr>
                <w:rFonts w:ascii="Arial" w:cs="Arial" w:eastAsia="Arial" w:hAnsi="Arial"/>
                <w:sz w:val="24"/>
                <w:szCs w:val="24"/>
              </w:rPr>
              <w:t xml:space="preserve">анализ протокола испытаний, оформление сертификата, декларации или отказа в сертификации, регистрации декларации, если продукция не соответствует требованиям по безопасности, внесение в базу данных (реестр) - до 2 часов;</w:t>
            </w:r>
          </w:p>
          <w:p>
            <w:pPr>
              <w:jc w:val="left"/>
            </w:pPr>
            <w:r>
              <w:rPr>
                <w:rFonts w:ascii="Arial" w:cs="Arial" w:eastAsia="Arial" w:hAnsi="Arial"/>
                <w:sz w:val="24"/>
                <w:szCs w:val="24"/>
              </w:rPr>
              <w:t xml:space="preserve">выдача сертификатов соответствия, регистрации деклараций о соответствии - до 30 минут</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получателей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можно получить:</w:t>
            </w:r>
          </w:p>
          <w:p>
            <w:pPr>
              <w:jc w:val="left"/>
            </w:pPr>
            <w:r>
              <w:rPr>
                <w:rFonts w:ascii="Arial" w:cs="Arial" w:eastAsia="Arial" w:hAnsi="Arial"/>
                <w:sz w:val="24"/>
                <w:szCs w:val="24"/>
              </w:rPr>
              <w:t xml:space="preserve">- в национальном органе по стандартизации и метрологии; адрес: 720040, г.Бишкек, ул.Панфилова,197, контактный тел.: 62-37-90, факс 66-13-67;</w:t>
            </w:r>
          </w:p>
          <w:p>
            <w:pPr>
              <w:jc w:val="left"/>
            </w:pPr>
            <w:r>
              <w:rPr>
                <w:rFonts w:ascii="Arial" w:cs="Arial" w:eastAsia="Arial" w:hAnsi="Arial"/>
                <w:sz w:val="24"/>
                <w:szCs w:val="24"/>
              </w:rPr>
              <w:t xml:space="preserve">время работы: понедельник-пятница с 9-00 до 18-00, обеденный перерыв с 12-30 до 13-30;</w:t>
            </w:r>
          </w:p>
          <w:p>
            <w:pPr>
              <w:jc w:val="left"/>
            </w:pPr>
            <w:r>
              <w:rPr>
                <w:rFonts w:ascii="Arial" w:cs="Arial" w:eastAsia="Arial" w:hAnsi="Arial"/>
                <w:sz w:val="24"/>
                <w:szCs w:val="24"/>
              </w:rPr>
              <w:t xml:space="preserve">- на сайте национального органа по стандартизации и метрологии (www.nism.gov.kg);</w:t>
            </w:r>
          </w:p>
          <w:p>
            <w:pPr>
              <w:jc w:val="left"/>
            </w:pPr>
            <w:r>
              <w:rPr>
                <w:rFonts w:ascii="Arial" w:cs="Arial" w:eastAsia="Arial" w:hAnsi="Arial"/>
                <w:sz w:val="24"/>
                <w:szCs w:val="24"/>
              </w:rPr>
              <w:t xml:space="preserve">- на государственном портале электронных услуг (www.portal.t</w:t>
            </w:r>
            <w:r>
              <w:rPr>
                <w:rFonts w:ascii="Arial" w:cs="Arial" w:eastAsia="Arial" w:hAnsi="Arial"/>
                <w:sz w:val="24"/>
                <w:szCs w:val="24"/>
              </w:rPr>
              <w:t xml:space="preserve">un</w:t>
            </w:r>
            <w:r>
              <w:rPr>
                <w:rFonts w:ascii="Arial" w:cs="Arial" w:eastAsia="Arial" w:hAnsi="Arial"/>
                <w:sz w:val="24"/>
                <w:szCs w:val="24"/>
              </w:rPr>
              <w:t xml:space="preserve">duk.kg);</w:t>
            </w:r>
          </w:p>
          <w:p>
            <w:pPr>
              <w:jc w:val="left"/>
            </w:pPr>
            <w:r>
              <w:rPr>
                <w:rFonts w:ascii="Arial" w:cs="Arial" w:eastAsia="Arial" w:hAnsi="Arial"/>
                <w:sz w:val="24"/>
                <w:szCs w:val="24"/>
              </w:rPr>
              <w:t xml:space="preserve">- на информационном стенде на 1 этаже;</w:t>
            </w:r>
          </w:p>
          <w:p>
            <w:pPr>
              <w:jc w:val="left"/>
            </w:pPr>
            <w:r>
              <w:rPr>
                <w:rFonts w:ascii="Arial" w:cs="Arial" w:eastAsia="Arial" w:hAnsi="Arial"/>
                <w:sz w:val="24"/>
                <w:szCs w:val="24"/>
              </w:rPr>
              <w:t xml:space="preserve">- по письменному обращению (ответ на письменный запрос);</w:t>
            </w:r>
          </w:p>
          <w:p>
            <w:pPr>
              <w:jc w:val="left"/>
            </w:pPr>
            <w:r>
              <w:rPr>
                <w:rFonts w:ascii="Arial" w:cs="Arial" w:eastAsia="Arial" w:hAnsi="Arial"/>
                <w:sz w:val="24"/>
                <w:szCs w:val="24"/>
              </w:rPr>
              <w:t xml:space="preserve">- устно (по телефону, при личном контакте);</w:t>
            </w:r>
          </w:p>
          <w:p>
            <w:pPr>
              <w:jc w:val="left"/>
            </w:pPr>
            <w:r>
              <w:rPr>
                <w:rFonts w:ascii="Arial" w:cs="Arial" w:eastAsia="Arial" w:hAnsi="Arial"/>
                <w:sz w:val="24"/>
                <w:szCs w:val="24"/>
              </w:rPr>
              <w:t xml:space="preserve">- посредством электронной почты;</w:t>
            </w:r>
          </w:p>
          <w:p>
            <w:pPr>
              <w:jc w:val="left"/>
            </w:pPr>
            <w:r>
              <w:rPr>
                <w:rFonts w:ascii="Arial" w:cs="Arial" w:eastAsia="Arial" w:hAnsi="Arial"/>
                <w:sz w:val="24"/>
                <w:szCs w:val="24"/>
              </w:rPr>
              <w:t xml:space="preserve">- через факсимильное информирование (н-р: отправка заказа счет-фактуры на оплату);</w:t>
            </w:r>
          </w:p>
          <w:p>
            <w:pPr>
              <w:jc w:val="left"/>
            </w:pPr>
            <w:r>
              <w:rPr>
                <w:rFonts w:ascii="Arial" w:cs="Arial" w:eastAsia="Arial" w:hAnsi="Arial"/>
                <w:sz w:val="24"/>
                <w:szCs w:val="24"/>
              </w:rPr>
              <w:t xml:space="preserve">- в общественной приемной национального органа по стандартизации и метрологии.</w:t>
            </w:r>
          </w:p>
          <w:p>
            <w:pPr>
              <w:jc w:val="left"/>
            </w:pPr>
            <w:r>
              <w:rPr>
                <w:rFonts w:ascii="Arial" w:cs="Arial" w:eastAsia="Arial" w:hAnsi="Arial"/>
                <w:sz w:val="24"/>
                <w:szCs w:val="24"/>
              </w:rPr>
              <w:t xml:space="preserve">Информирование осуществляется на государственном и официальном языках</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 государственной услуге (охарактеризовать или перечислить все возможные способы)</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может быть освещено:</w:t>
            </w:r>
          </w:p>
          <w:p>
            <w:pPr>
              <w:jc w:val="left"/>
            </w:pPr>
            <w:r>
              <w:rPr>
                <w:rFonts w:ascii="Arial" w:cs="Arial" w:eastAsia="Arial" w:hAnsi="Arial"/>
                <w:sz w:val="24"/>
                <w:szCs w:val="24"/>
              </w:rPr>
              <w:t xml:space="preserve">- на сайте национального органа по стандартизации и метрологии;</w:t>
            </w:r>
          </w:p>
          <w:p>
            <w:pPr>
              <w:jc w:val="left"/>
            </w:pPr>
            <w:r>
              <w:rPr>
                <w:rFonts w:ascii="Arial" w:cs="Arial" w:eastAsia="Arial" w:hAnsi="Arial"/>
                <w:sz w:val="24"/>
                <w:szCs w:val="24"/>
              </w:rPr>
              <w:t xml:space="preserve">- на государственном портале электронных услуг (www.portal.tunduk.kg);</w:t>
            </w:r>
          </w:p>
          <w:p>
            <w:pPr>
              <w:jc w:val="left"/>
            </w:pPr>
            <w:r>
              <w:rPr>
                <w:rFonts w:ascii="Arial" w:cs="Arial" w:eastAsia="Arial" w:hAnsi="Arial"/>
                <w:sz w:val="24"/>
                <w:szCs w:val="24"/>
              </w:rPr>
              <w:t xml:space="preserve">- при устном общении по телефону и личном контакте;</w:t>
            </w:r>
          </w:p>
          <w:p>
            <w:pPr>
              <w:jc w:val="left"/>
            </w:pPr>
            <w:r>
              <w:rPr>
                <w:rFonts w:ascii="Arial" w:cs="Arial" w:eastAsia="Arial" w:hAnsi="Arial"/>
                <w:sz w:val="24"/>
                <w:szCs w:val="24"/>
              </w:rPr>
              <w:t xml:space="preserve">- в общественной приемной национального органа по стандартизации и метрологии;</w:t>
            </w:r>
          </w:p>
          <w:p>
            <w:pPr>
              <w:jc w:val="left"/>
            </w:pPr>
            <w:r>
              <w:rPr>
                <w:rFonts w:ascii="Arial" w:cs="Arial" w:eastAsia="Arial" w:hAnsi="Arial"/>
                <w:sz w:val="24"/>
                <w:szCs w:val="24"/>
              </w:rPr>
              <w:t xml:space="preserve">- посредством электронной почты;</w:t>
            </w:r>
          </w:p>
          <w:p>
            <w:pPr>
              <w:jc w:val="left"/>
            </w:pPr>
            <w:r>
              <w:rPr>
                <w:rFonts w:ascii="Arial" w:cs="Arial" w:eastAsia="Arial" w:hAnsi="Arial"/>
                <w:sz w:val="24"/>
                <w:szCs w:val="24"/>
              </w:rPr>
              <w:t xml:space="preserve">- посредством различных газет, радио, ТВ;</w:t>
            </w:r>
          </w:p>
          <w:p>
            <w:pPr>
              <w:jc w:val="left"/>
            </w:pPr>
            <w:r>
              <w:rPr>
                <w:rFonts w:ascii="Arial" w:cs="Arial" w:eastAsia="Arial" w:hAnsi="Arial"/>
                <w:sz w:val="24"/>
                <w:szCs w:val="24"/>
              </w:rPr>
              <w:t xml:space="preserve">- на информационных стендах, в брошюрах, буклетах.</w:t>
            </w:r>
          </w:p>
          <w:p>
            <w:pPr>
              <w:jc w:val="left"/>
            </w:pPr>
            <w:r>
              <w:rPr>
                <w:rFonts w:ascii="Arial" w:cs="Arial" w:eastAsia="Arial" w:hAnsi="Arial"/>
                <w:sz w:val="24"/>
                <w:szCs w:val="24"/>
              </w:rPr>
              <w:t xml:space="preserve">Адреса, номера телефонов и список территориальных подразделений находятся на информационных стендах и официальном сайте национального органа по стандартизации и метрологии (www.nism.gov.k</w:t>
            </w:r>
            <w:r>
              <w:rPr>
                <w:rFonts w:ascii="Arial" w:cs="Arial" w:eastAsia="Arial" w:hAnsi="Arial"/>
                <w:sz w:val="24"/>
                <w:szCs w:val="24"/>
              </w:rPr>
              <w:t xml:space="preserve">g</w:t>
            </w:r>
            <w:r>
              <w:rPr>
                <w:rFonts w:ascii="Arial" w:cs="Arial" w:eastAsia="Arial" w:hAnsi="Arial"/>
                <w:sz w:val="24"/>
                <w:szCs w:val="24"/>
              </w:rPr>
              <w:t xml:space="preserve">)</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входе в здание национального органа по стандартизации и метрологии висит табличка с наименованием. Наименование кабинета указано на табличке, расположенной на двери кабинета. Все сотрудники национального органа по стандартизации и метрологии, работающие с населением, должны иметь персонифицированные таблички (бейджи) с указанием ФИО и должности.</w:t>
            </w:r>
          </w:p>
          <w:p>
            <w:pPr>
              <w:jc w:val="left"/>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действующего законодательства, обеспечивающие этичность, независимость и объективность по отношению к гражданам, исключающие конфликт интересов. Для лиц с особыми нуждами по медицинским и социальным показаниям (ЛОВЗ с нарушениями опорно-двигательного аппарата, пожилые граждане), общение и предоставление услуги производится в понятной и доступной им форме (выход сотрудников для общения на 1 этаж)</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получателе и оказанной ему услуге может быть предоставлена в соответствии с законодательством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Необходимые документы:</w:t>
            </w:r>
          </w:p>
          <w:p>
            <w:pPr>
              <w:jc w:val="left"/>
            </w:pPr>
            <w:r>
              <w:rPr>
                <w:rFonts w:ascii="Arial" w:cs="Arial" w:eastAsia="Arial" w:hAnsi="Arial"/>
                <w:sz w:val="24"/>
                <w:szCs w:val="24"/>
              </w:rPr>
              <w:t xml:space="preserve">- заявка установленного образца;</w:t>
            </w:r>
          </w:p>
          <w:p>
            <w:pPr>
              <w:jc w:val="left"/>
            </w:pPr>
            <w:r>
              <w:rPr>
                <w:rFonts w:ascii="Arial" w:cs="Arial" w:eastAsia="Arial" w:hAnsi="Arial"/>
                <w:sz w:val="24"/>
                <w:szCs w:val="24"/>
              </w:rPr>
              <w:t xml:space="preserve">- счет-фактура или инвойс - для ввозимой продукции (в том числе для нефтепродуктов: товаротранспортная накладная с указанием заводского номера партии и размера отгруженной партии; паспорт качества с указанием подтверждения о сертификации по показателям безопасности страны-производителя);</w:t>
            </w:r>
          </w:p>
          <w:p>
            <w:pPr>
              <w:jc w:val="left"/>
            </w:pPr>
            <w:r>
              <w:rPr>
                <w:rFonts w:ascii="Arial" w:cs="Arial" w:eastAsia="Arial" w:hAnsi="Arial"/>
                <w:sz w:val="24"/>
                <w:szCs w:val="24"/>
              </w:rPr>
              <w:t xml:space="preserve">- протоколы или документы об испытаниях (с учетом сроков их проведения), осуществленных при поставке продукции на производство, или документы об испытаниях, выполненных аккредитованными отечественными или зарубежными испытательными лабораториями, подтверждающие соответствие продукции требованиям безопасности (если заявитель претендует на сертификацию по сокращенной программе сертификационных испытаний);</w:t>
            </w:r>
          </w:p>
          <w:p>
            <w:pPr>
              <w:jc w:val="left"/>
            </w:pPr>
            <w:r>
              <w:rPr>
                <w:rFonts w:ascii="Arial" w:cs="Arial" w:eastAsia="Arial" w:hAnsi="Arial"/>
                <w:sz w:val="24"/>
                <w:szCs w:val="24"/>
              </w:rPr>
              <w:t xml:space="preserve">- контракт на поставку (если заявитель претендует на сертификацию импортной продукции по долгосрочному контракту);</w:t>
            </w:r>
          </w:p>
          <w:p>
            <w:pPr>
              <w:jc w:val="left"/>
            </w:pPr>
            <w:r>
              <w:rPr>
                <w:rFonts w:ascii="Arial" w:cs="Arial" w:eastAsia="Arial" w:hAnsi="Arial"/>
                <w:sz w:val="24"/>
                <w:szCs w:val="24"/>
              </w:rPr>
              <w:t xml:space="preserve">- техническая документация изготовителя (конструкторская, технологическая, эксплуатационная - для схем с анализом состояния производства).</w:t>
            </w:r>
          </w:p>
          <w:p>
            <w:pPr>
              <w:jc w:val="left"/>
            </w:pPr>
            <w:r>
              <w:rPr>
                <w:rFonts w:ascii="Arial" w:cs="Arial" w:eastAsia="Arial" w:hAnsi="Arial"/>
                <w:sz w:val="24"/>
                <w:szCs w:val="24"/>
              </w:rPr>
              <w:t xml:space="preserve">Национальный орган по стандартизации и метрологии в целях предоставления услуги имеет право получить информацию о заявителе от других государственных органов и органов местного самоуправления посредством системы межведомственного взаимодействия "Тундук"</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сертификата соответствия/декларации о соответствии устанавливается в соответствии с "Прейскурантом цен тарифов на работы и услуги, выполняемые территориальными органами Центра по стандартизации и метрологии при Министерстве экономики и коммерции Кыргызской Республики", утвержденным руководством уполномоченного государственного органа по техническому регулированию и метрологии, по согласованию с государственным антимонопольным органом.</w:t>
            </w:r>
          </w:p>
          <w:p>
            <w:pPr>
              <w:jc w:val="left"/>
            </w:pPr>
            <w:r>
              <w:rPr>
                <w:rFonts w:ascii="Arial" w:cs="Arial" w:eastAsia="Arial" w:hAnsi="Arial"/>
                <w:sz w:val="24"/>
                <w:szCs w:val="24"/>
              </w:rPr>
              <w:t xml:space="preserve">С информацией о стоимости услуги по выдаче сертификата соответствия можно ознакомиться на информационных стендах и официальном сайте национального органа по стандартизации и метрологии.</w:t>
            </w:r>
          </w:p>
          <w:p>
            <w:pPr>
              <w:jc w:val="left"/>
            </w:pPr>
            <w:r>
              <w:rPr>
                <w:rFonts w:ascii="Arial" w:cs="Arial" w:eastAsia="Arial" w:hAnsi="Arial"/>
                <w:sz w:val="24"/>
                <w:szCs w:val="24"/>
              </w:rPr>
              <w:t xml:space="preserve">На государственном портале электронных услуг (www.portal.tunduk.kg)</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left"/>
            </w:pPr>
            <w:r>
              <w:rPr>
                <w:rFonts w:ascii="Arial" w:cs="Arial" w:eastAsia="Arial" w:hAnsi="Arial"/>
                <w:sz w:val="24"/>
                <w:szCs w:val="24"/>
              </w:rPr>
              <w:t xml:space="preserve">- актуальность для производителей и потребителей продукции;</w:t>
            </w:r>
          </w:p>
          <w:p>
            <w:pPr>
              <w:jc w:val="left"/>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left"/>
            </w:pPr>
            <w:r>
              <w:rPr>
                <w:rFonts w:ascii="Arial" w:cs="Arial" w:eastAsia="Arial" w:hAnsi="Arial"/>
                <w:sz w:val="24"/>
                <w:szCs w:val="24"/>
              </w:rPr>
              <w:t xml:space="preserve">- недопущение дискриминации по полу, национальности и вероисповеданию к лицам, претендующим на получение сертификата соответствия;</w:t>
            </w:r>
          </w:p>
          <w:p>
            <w:pPr>
              <w:jc w:val="left"/>
            </w:pPr>
            <w:r>
              <w:rPr>
                <w:rFonts w:ascii="Arial" w:cs="Arial" w:eastAsia="Arial" w:hAnsi="Arial"/>
                <w:sz w:val="24"/>
                <w:szCs w:val="24"/>
              </w:rPr>
              <w:t xml:space="preserve">- своевременность в соответствии со сроками предоставления государственной услуги (в зависимости от объема заявки и сроков проведения испытаний);</w:t>
            </w:r>
          </w:p>
          <w:p>
            <w:pPr>
              <w:jc w:val="left"/>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left"/>
            </w:pPr>
            <w:r>
              <w:rPr>
                <w:rFonts w:ascii="Arial" w:cs="Arial" w:eastAsia="Arial" w:hAnsi="Arial"/>
                <w:sz w:val="24"/>
                <w:szCs w:val="24"/>
              </w:rPr>
              <w:t xml:space="preserve">- соответствие условий предоставления услуги: доступ к зданию, помещению, наличие коммунально-бытовых удобств, удобный график для приема граждан, наличие и доступность информационной поддержки (в печатном и электронном форматах), бесплатных бланков;</w:t>
            </w:r>
          </w:p>
          <w:p>
            <w:pPr>
              <w:jc w:val="left"/>
            </w:pPr>
            <w:r>
              <w:rPr>
                <w:rFonts w:ascii="Arial" w:cs="Arial" w:eastAsia="Arial" w:hAnsi="Arial"/>
                <w:sz w:val="24"/>
                <w:szCs w:val="24"/>
              </w:rPr>
              <w:t xml:space="preserve">- корректность и вежливость сотрудников при оказании государственной услуги, помощь сотрудников в заполнении необходимых документов и консультирование в ходе всей процедуры оказания услуги;</w:t>
            </w:r>
          </w:p>
          <w:p>
            <w:pPr>
              <w:jc w:val="left"/>
            </w:pPr>
            <w:r>
              <w:rPr>
                <w:rFonts w:ascii="Arial" w:cs="Arial" w:eastAsia="Arial" w:hAnsi="Arial"/>
                <w:sz w:val="24"/>
                <w:szCs w:val="24"/>
              </w:rPr>
              <w:t xml:space="preserve">- наличие книги жалоб и предложений граждан в доступном месте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 в электронном формате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предоставляется в электронном формате в части приема запроса (заявления) на получение услуги посредством Государственного портала электронных услуг - portal.tunduk.kg в соответствии с </w:t>
            </w:r>
            <w:hyperlink w:history="1" r:id="rIdbcghat0gsvm-jjtos8a5w">
              <w:r>
                <w:rPr>
                  <w:rFonts w:ascii="Arial" w:cs="Arial" w:eastAsia="Arial" w:hAnsi="Arial"/>
                  <w:color w:val="1D4ED8"/>
                  <w:sz w:val="24"/>
                  <w:szCs w:val="24"/>
                  <w:u w:val="single"/>
                </w:rPr>
                <w:t xml:space="preserve">Правилами</w:t>
              </w:r>
            </w:hyperlink>
            <w:r>
              <w:rPr>
                <w:rFonts w:ascii="Arial" w:cs="Arial" w:eastAsia="Arial" w:hAnsi="Arial"/>
                <w:sz w:val="24"/>
                <w:szCs w:val="24"/>
              </w:rPr>
              <w:t xml:space="preserve"> пользования Государственным порталом электронных услуг, утвержденными </w:t>
            </w:r>
            <w:hyperlink w:history="1" r:id="rIdmae9srfrkcg3djxecshd2">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7 октября 2019 года № 525.</w:t>
            </w:r>
          </w:p>
          <w:p>
            <w:pPr>
              <w:jc w:val="left"/>
            </w:pPr>
            <w:r>
              <w:rPr>
                <w:rFonts w:ascii="Arial" w:cs="Arial" w:eastAsia="Arial" w:hAnsi="Arial"/>
                <w:sz w:val="24"/>
                <w:szCs w:val="24"/>
              </w:rPr>
              <w:t xml:space="preserve">Примечание: для отправления электронной заявки на получение услуги заявителю необходимо зарегистрироваться на портале </w:t>
            </w:r>
            <w:r>
              <w:rPr>
                <w:rFonts w:ascii="Arial" w:cs="Arial" w:eastAsia="Arial" w:hAnsi="Arial"/>
                <w:sz w:val="24"/>
                <w:szCs w:val="24"/>
              </w:rPr>
              <w:t xml:space="preserve">ww</w:t>
            </w:r>
            <w:r>
              <w:rPr>
                <w:rFonts w:ascii="Arial" w:cs="Arial" w:eastAsia="Arial" w:hAnsi="Arial"/>
                <w:sz w:val="24"/>
                <w:szCs w:val="24"/>
              </w:rPr>
              <w:t xml:space="preserve">w.portal.tunduk.kg.</w:t>
            </w:r>
          </w:p>
          <w:p>
            <w:pPr>
              <w:jc w:val="left"/>
            </w:pPr>
            <w:r>
              <w:rPr>
                <w:rFonts w:ascii="Arial" w:cs="Arial" w:eastAsia="Arial" w:hAnsi="Arial"/>
                <w:sz w:val="24"/>
                <w:szCs w:val="24"/>
              </w:rPr>
              <w:t xml:space="preserve">Стадия онлайновой интерактивности - 3 (имеющаяся веб-страница имеет функциональную возможность заполнять заявку в электронной форме и принять ее к рассмотрению госорганом без распечатки на бумажном носителе)</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Основания для отказа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услуги может быть отказано по следующим основаниям:</w:t>
            </w:r>
          </w:p>
          <w:p>
            <w:pPr>
              <w:jc w:val="left"/>
            </w:pPr>
            <w:r>
              <w:rPr>
                <w:rFonts w:ascii="Arial" w:cs="Arial" w:eastAsia="Arial" w:hAnsi="Arial"/>
                <w:sz w:val="24"/>
                <w:szCs w:val="24"/>
              </w:rPr>
              <w:t xml:space="preserve">- в случае несоответствия требованиям, указанным в пунктах 4, 14 данного стандарта;</w:t>
            </w:r>
          </w:p>
          <w:p>
            <w:pPr>
              <w:jc w:val="left"/>
            </w:pPr>
            <w:r>
              <w:rPr>
                <w:rFonts w:ascii="Arial" w:cs="Arial" w:eastAsia="Arial" w:hAnsi="Arial"/>
                <w:sz w:val="24"/>
                <w:szCs w:val="24"/>
              </w:rPr>
              <w:t xml:space="preserve">- отрицательные результаты сертификационных испытаний;</w:t>
            </w:r>
          </w:p>
          <w:p>
            <w:pPr>
              <w:jc w:val="left"/>
            </w:pPr>
            <w:r>
              <w:rPr>
                <w:rFonts w:ascii="Arial" w:cs="Arial" w:eastAsia="Arial" w:hAnsi="Arial"/>
                <w:sz w:val="24"/>
                <w:szCs w:val="24"/>
              </w:rPr>
              <w:t xml:space="preserve">- отрицательные результаты обследования состояния производства;</w:t>
            </w:r>
          </w:p>
          <w:p>
            <w:pPr>
              <w:jc w:val="left"/>
            </w:pPr>
            <w:r>
              <w:rPr>
                <w:rFonts w:ascii="Arial" w:cs="Arial" w:eastAsia="Arial" w:hAnsi="Arial"/>
                <w:sz w:val="24"/>
                <w:szCs w:val="24"/>
              </w:rPr>
              <w:t xml:space="preserve">- национальный орган по стандартизации и метрологии не аккредитован на право проведения работ по сертификации заявленной продукции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Письменная жалоба подается в свободной форме и должна содержать ФИО получателя услуги, адрес проживания, номер телефона, а также суть претензии, подпись получателя услуги и дату.</w:t>
            </w:r>
          </w:p>
          <w:p>
            <w:pPr>
              <w:jc w:val="left"/>
            </w:pPr>
            <w:r>
              <w:rPr>
                <w:rFonts w:ascii="Arial" w:cs="Arial" w:eastAsia="Arial" w:hAnsi="Arial"/>
                <w:sz w:val="24"/>
                <w:szCs w:val="24"/>
              </w:rPr>
              <w:t xml:space="preserve">Жалоба регистрируется в журнале в течение 1 рабочего дня. Руководитель национального органа в области стандартизации и проведению работ в области метрологии рассматривает жалобу и назначает комиссию, состоящую не менее чем из 5 человек. Комиссия обеспечивает рассмотрение и анализ жалобы и документов, связанных с ней, и выносит решение.</w:t>
            </w:r>
          </w:p>
          <w:p>
            <w:pPr>
              <w:jc w:val="left"/>
            </w:pPr>
            <w:r>
              <w:rPr>
                <w:rFonts w:ascii="Arial" w:cs="Arial" w:eastAsia="Arial" w:hAnsi="Arial"/>
                <w:sz w:val="24"/>
                <w:szCs w:val="24"/>
              </w:rPr>
              <w:t xml:space="preserve">Срок рассмотрения жалобы и получения ответа заявителем не должен превышать 14 дней со дня регистрации.</w:t>
            </w:r>
          </w:p>
          <w:p>
            <w:pPr>
              <w:jc w:val="left"/>
            </w:pPr>
            <w:r>
              <w:rPr>
                <w:rFonts w:ascii="Arial" w:cs="Arial" w:eastAsia="Arial" w:hAnsi="Arial"/>
                <w:sz w:val="24"/>
                <w:szCs w:val="24"/>
              </w:rPr>
              <w:t xml:space="preserve">В случае возникновения спорных вопросов по результатам рассмотрения жалобы заявитель имеет право обжаловать решение национального органа по стандартизации и метрологии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государственных услуг</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 или по мере необходимости</w:t>
            </w:r>
          </w:p>
        </w:tc>
      </w:tr>
    </w:tbl>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pmrr-osl-yom35x1azis">
      <w:r>
        <w:rPr>
          <w:rFonts w:ascii="Arial" w:cs="Arial" w:eastAsia="Arial" w:hAnsi="Arial"/>
          <w:color w:val="132D3F"/>
          <w:sz w:val="16"/>
          <w:szCs w:val="16"/>
          <w:u w:val="single"/>
        </w:rPr>
        <w:t xml:space="preserve">dalil.kg/document/159123</w:t>
      </w:r>
    </w:hyperlink>
  </w:p>
  <w:p>
    <w:pPr>
      <w:spacing w:after="0" w:before="40"/>
      <w:jc w:val="center"/>
    </w:pPr>
    <w:hyperlink w:history="1" r:id="rIdxuzghhqb51sdmfpk0c4s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7db986-f-xxecdom01m1p" Type="http://schemas.openxmlformats.org/officeDocument/2006/relationships/hyperlink" Target="https://dalil.kg/document/230008396" TargetMode="External"/><Relationship Id="rIdznjevlgyqjpvoyigubxnn" Type="http://schemas.openxmlformats.org/officeDocument/2006/relationships/hyperlink" Target="https://dalil.kg/document/205360" TargetMode="External"/><Relationship Id="rIdbzsyrtjfzjd_mlk7noqw_" Type="http://schemas.openxmlformats.org/officeDocument/2006/relationships/hyperlink" Target="https://dalil.kg/document/430271" TargetMode="External"/><Relationship Id="rIdanisxfcb0matkcopbmxef" Type="http://schemas.openxmlformats.org/officeDocument/2006/relationships/hyperlink" Target="https://dalil.kg/document/112301#st_13" TargetMode="External"/><Relationship Id="rIdqvg9heoe7rgy7hqnrcmz3" Type="http://schemas.openxmlformats.org/officeDocument/2006/relationships/hyperlink" Target="https://dalil.kg/document/112301#st_17" TargetMode="External"/><Relationship Id="rIdaebzkyw1_kw7whlvjoi-r" Type="http://schemas.openxmlformats.org/officeDocument/2006/relationships/hyperlink" Target="https://dalil.kg/document/93449" TargetMode="External"/><Relationship Id="rIdt4xkqvj4utmjwxlybqphj" Type="http://schemas.openxmlformats.org/officeDocument/2006/relationships/hyperlink" Target="https://dalil.kg/document/96552" TargetMode="External"/><Relationship Id="rIdh2yhesvv3jpzks9dkn545" Type="http://schemas.openxmlformats.org/officeDocument/2006/relationships/hyperlink" Target="https://dalil.kg/document/159849" TargetMode="External"/><Relationship Id="rIdsmdlqxtwsjvlomrxcvfmm" Type="http://schemas.openxmlformats.org/officeDocument/2006/relationships/hyperlink" Target="https://dalil.kg/document/159849" TargetMode="External"/><Relationship Id="rIdpwl08nkrnzq0trgiuzd30" Type="http://schemas.openxmlformats.org/officeDocument/2006/relationships/hyperlink" Target="https://dalil.kg/document/96552" TargetMode="External"/><Relationship Id="rIdvp04igmk9gs8af8t9xokn" Type="http://schemas.openxmlformats.org/officeDocument/2006/relationships/hyperlink" Target="https://dalil.kg/document/159816" TargetMode="External"/><Relationship Id="rIdto0dsuiasuch5hywwvuou" Type="http://schemas.openxmlformats.org/officeDocument/2006/relationships/hyperlink" Target="https://dalil.kg/document/1453#st_25" TargetMode="External"/><Relationship Id="rIde3r8xeynyc5rf3o0st_dk" Type="http://schemas.openxmlformats.org/officeDocument/2006/relationships/hyperlink" Target="https://dalil.kg/document/1453#st_27" TargetMode="External"/><Relationship Id="rIddfdvc8d6mx4sj1iqpk8cu" Type="http://schemas.openxmlformats.org/officeDocument/2006/relationships/hyperlink" Target="https://dalil.kg/document/56997" TargetMode="External"/><Relationship Id="rIdbuskisuthyewjcfmg2ksd" Type="http://schemas.openxmlformats.org/officeDocument/2006/relationships/hyperlink" Target="https://dalil.kg/document/57014" TargetMode="External"/><Relationship Id="rIdppep6x90hnls8j9hmgnkp" Type="http://schemas.openxmlformats.org/officeDocument/2006/relationships/hyperlink" Target="https://dalil.kg/document/12908" TargetMode="External"/><Relationship Id="rIdbcghat0gsvm-jjtos8a5w" Type="http://schemas.openxmlformats.org/officeDocument/2006/relationships/hyperlink" Target="https://dalil.kg/document/157173" TargetMode="External"/><Relationship Id="rIdmae9srfrkcg3djxecshd2" Type="http://schemas.openxmlformats.org/officeDocument/2006/relationships/hyperlink" Target="https://dalil.kg/document/157172" TargetMode="External"/><Relationship Id="rId8" Type="http://schemas.openxmlformats.org/officeDocument/2006/relationships/image" Target="media/8de64316e95979c063c17bcd5380dc052a2594e9.png"/><Relationship Id="rId2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pmrr-osl-yom35x1azis" Type="http://schemas.openxmlformats.org/officeDocument/2006/relationships/hyperlink" Target="https://dalil.kg/document/159123" TargetMode="External"/><Relationship Id="rIdxuzghhqb51sdmfpk0c4s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2026-09-25T14:31:13.685Z</dcterms:created>
  <dcterms:modified xsi:type="dcterms:W3CDTF">2026-09-25T14:31:13.685Z</dcterms:modified>
</cp:coreProperties>
</file>

<file path=docProps/custom.xml><?xml version="1.0" encoding="utf-8"?>
<Properties xmlns="http://schemas.openxmlformats.org/officeDocument/2006/custom-properties" xmlns:vt="http://schemas.openxmlformats.org/officeDocument/2006/docPropsVTypes"/>
</file>